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after="156" w:afterLines="50" w:line="360" w:lineRule="auto"/>
        <w:jc w:val="left"/>
        <w:rPr>
          <w:rFonts w:hint="default" w:ascii="黑体" w:hAnsi="黑体" w:eastAsia="黑体" w:cs="黑体"/>
          <w:b/>
          <w:bCs/>
          <w:snapToGrid w:val="0"/>
          <w:kern w:val="0"/>
          <w:sz w:val="28"/>
          <w:szCs w:val="28"/>
          <w:lang w:val="en-US" w:eastAsia="zh-CN"/>
        </w:rPr>
      </w:pPr>
      <w:bookmarkStart w:id="0" w:name="_Toc23825"/>
      <w:bookmarkStart w:id="1" w:name="_Toc21664"/>
      <w:bookmarkStart w:id="2" w:name="_Toc5470"/>
      <w:bookmarkStart w:id="27" w:name="_GoBack"/>
      <w:bookmarkEnd w:id="27"/>
      <w:r>
        <w:rPr>
          <w:rFonts w:hint="eastAsia" w:ascii="黑体" w:hAnsi="黑体" w:eastAsia="黑体" w:cs="黑体"/>
          <w:b/>
          <w:bCs/>
          <w:snapToGrid w:val="0"/>
          <w:kern w:val="0"/>
          <w:sz w:val="28"/>
          <w:szCs w:val="28"/>
          <w:lang w:val="en-US" w:eastAsia="zh-CN"/>
        </w:rPr>
        <w:t>附件2</w:t>
      </w:r>
    </w:p>
    <w:p>
      <w:pPr>
        <w:pStyle w:val="2"/>
        <w:pageBreakBefore w:val="0"/>
        <w:kinsoku/>
        <w:wordWrap/>
        <w:overflowPunct/>
        <w:topLinePunct w:val="0"/>
        <w:autoSpaceDE/>
        <w:autoSpaceDN/>
        <w:bidi w:val="0"/>
        <w:adjustRightInd/>
        <w:snapToGrid/>
        <w:spacing w:line="360" w:lineRule="auto"/>
        <w:jc w:val="center"/>
        <w:rPr>
          <w:rFonts w:hint="eastAsia" w:eastAsiaTheme="minorEastAsia"/>
          <w:sz w:val="52"/>
          <w:szCs w:val="52"/>
          <w:lang w:eastAsia="zh-CN"/>
        </w:rPr>
      </w:pPr>
      <w:bookmarkStart w:id="3" w:name="_Toc6036"/>
      <w:r>
        <w:rPr>
          <w:rFonts w:hint="eastAsia"/>
          <w:sz w:val="52"/>
          <w:szCs w:val="52"/>
        </w:rPr>
        <w:t>山东省市政工程设计收费指导标准</w:t>
      </w:r>
      <w:bookmarkEnd w:id="0"/>
      <w:bookmarkEnd w:id="1"/>
      <w:bookmarkEnd w:id="2"/>
      <w:bookmarkEnd w:id="3"/>
      <w:r>
        <w:rPr>
          <w:rFonts w:hint="eastAsia"/>
          <w:sz w:val="52"/>
          <w:szCs w:val="52"/>
          <w:lang w:eastAsia="zh-CN"/>
        </w:rPr>
        <w:t>（</w:t>
      </w:r>
      <w:r>
        <w:rPr>
          <w:rFonts w:hint="eastAsia"/>
          <w:sz w:val="52"/>
          <w:szCs w:val="52"/>
          <w:lang w:val="en-US" w:eastAsia="zh-CN"/>
        </w:rPr>
        <w:t>征求意见稿</w:t>
      </w:r>
      <w:r>
        <w:rPr>
          <w:rFonts w:hint="eastAsia"/>
          <w:sz w:val="52"/>
          <w:szCs w:val="52"/>
          <w:lang w:eastAsia="zh-CN"/>
        </w:rPr>
        <w:t>）</w:t>
      </w: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pPr>
    </w:p>
    <w:p>
      <w:pPr>
        <w:pageBreakBefore w:val="0"/>
        <w:kinsoku/>
        <w:wordWrap/>
        <w:overflowPunct/>
        <w:topLinePunct w:val="0"/>
        <w:autoSpaceDE/>
        <w:autoSpaceDN/>
        <w:bidi w:val="0"/>
        <w:adjustRightInd/>
        <w:snapToGrid/>
        <w:spacing w:line="360" w:lineRule="auto"/>
        <w:jc w:val="center"/>
        <w:rPr>
          <w:b/>
          <w:bCs/>
          <w:sz w:val="30"/>
          <w:szCs w:val="30"/>
        </w:rPr>
      </w:pPr>
    </w:p>
    <w:p>
      <w:pPr>
        <w:pageBreakBefore w:val="0"/>
        <w:kinsoku/>
        <w:wordWrap/>
        <w:overflowPunct/>
        <w:topLinePunct w:val="0"/>
        <w:autoSpaceDE/>
        <w:autoSpaceDN/>
        <w:bidi w:val="0"/>
        <w:adjustRightInd/>
        <w:snapToGrid/>
        <w:spacing w:line="360" w:lineRule="auto"/>
        <w:jc w:val="center"/>
        <w:rPr>
          <w:b/>
          <w:bCs/>
          <w:sz w:val="30"/>
          <w:szCs w:val="30"/>
        </w:rPr>
      </w:pPr>
      <w:r>
        <w:rPr>
          <w:rFonts w:hint="eastAsia"/>
          <w:b/>
          <w:bCs/>
          <w:sz w:val="30"/>
          <w:szCs w:val="30"/>
        </w:rPr>
        <w:t>山东省勘察设计协会</w:t>
      </w:r>
    </w:p>
    <w:p>
      <w:pPr>
        <w:pageBreakBefore w:val="0"/>
        <w:kinsoku/>
        <w:wordWrap/>
        <w:overflowPunct/>
        <w:topLinePunct w:val="0"/>
        <w:autoSpaceDE/>
        <w:autoSpaceDN/>
        <w:bidi w:val="0"/>
        <w:adjustRightInd/>
        <w:snapToGrid/>
        <w:spacing w:line="360" w:lineRule="auto"/>
        <w:jc w:val="center"/>
        <w:rPr>
          <w:b/>
          <w:bCs/>
          <w:sz w:val="30"/>
          <w:szCs w:val="30"/>
        </w:rPr>
        <w:sectPr>
          <w:pgSz w:w="11906" w:h="16838"/>
          <w:pgMar w:top="1440" w:right="1800" w:bottom="1440" w:left="1800" w:header="851" w:footer="992" w:gutter="0"/>
          <w:cols w:space="425" w:num="1"/>
          <w:docGrid w:type="lines" w:linePitch="312" w:charSpace="0"/>
        </w:sectPr>
      </w:pPr>
      <w:r>
        <w:rPr>
          <w:rFonts w:hint="eastAsia"/>
          <w:b/>
          <w:bCs/>
          <w:sz w:val="30"/>
          <w:szCs w:val="30"/>
          <w:lang w:eastAsia="zh-CN"/>
        </w:rPr>
        <w:t>二〇二三年</w:t>
      </w:r>
      <w:r>
        <w:rPr>
          <w:rFonts w:hint="eastAsia"/>
          <w:b/>
          <w:bCs/>
          <w:sz w:val="30"/>
          <w:szCs w:val="30"/>
        </w:rPr>
        <w:t>八月</w:t>
      </w:r>
    </w:p>
    <w:p>
      <w:pPr>
        <w:pageBreakBefore w:val="0"/>
        <w:kinsoku/>
        <w:wordWrap/>
        <w:overflowPunct/>
        <w:topLinePunct w:val="0"/>
        <w:autoSpaceDE/>
        <w:autoSpaceDN/>
        <w:bidi w:val="0"/>
        <w:adjustRightInd/>
        <w:snapToGrid/>
        <w:spacing w:line="360" w:lineRule="auto"/>
      </w:pPr>
    </w:p>
    <w:sdt>
      <w:sdtPr>
        <w:rPr>
          <w:rFonts w:ascii="宋体" w:hAnsi="宋体" w:eastAsia="宋体" w:cstheme="minorBidi"/>
          <w:b/>
          <w:bCs/>
          <w:kern w:val="2"/>
          <w:sz w:val="32"/>
          <w:szCs w:val="32"/>
          <w:lang w:val="en-US" w:eastAsia="zh-CN" w:bidi="ar-SA"/>
        </w:rPr>
        <w:id w:val="147480620"/>
        <w15:color w:val="DBDBDB"/>
        <w:docPartObj>
          <w:docPartGallery w:val="Table of Contents"/>
          <w:docPartUnique/>
        </w:docPartObj>
      </w:sdtPr>
      <w:sdtEndPr>
        <w:rPr>
          <w:rFonts w:ascii="宋体" w:hAnsi="宋体" w:eastAsia="宋体" w:cstheme="minorBidi"/>
          <w:b/>
          <w:bCs/>
          <w:kern w:val="2"/>
          <w:sz w:val="32"/>
          <w:szCs w:val="32"/>
          <w:lang w:val="en-US" w:eastAsia="zh-CN" w:bidi="ar-SA"/>
        </w:rPr>
      </w:sdtEndPr>
      <w:sdtContent>
        <w:p>
          <w:pPr>
            <w:pageBreakBefore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rPr>
              <w:b/>
              <w:bCs/>
              <w:sz w:val="32"/>
              <w:szCs w:val="32"/>
            </w:rPr>
          </w:pPr>
          <w:r>
            <w:rPr>
              <w:rFonts w:ascii="宋体" w:hAnsi="宋体" w:eastAsia="宋体"/>
              <w:b/>
              <w:bCs/>
              <w:sz w:val="32"/>
              <w:szCs w:val="32"/>
            </w:rPr>
            <w:t>目</w:t>
          </w:r>
          <w:r>
            <w:rPr>
              <w:rFonts w:hint="eastAsia" w:ascii="宋体" w:hAnsi="宋体" w:eastAsia="宋体"/>
              <w:b/>
              <w:bCs/>
              <w:sz w:val="32"/>
              <w:szCs w:val="32"/>
              <w:lang w:val="en-US" w:eastAsia="zh-CN"/>
            </w:rPr>
            <w:t xml:space="preserve">  </w:t>
          </w:r>
          <w:r>
            <w:rPr>
              <w:rFonts w:ascii="宋体" w:hAnsi="宋体" w:eastAsia="宋体"/>
              <w:b/>
              <w:bCs/>
              <w:sz w:val="32"/>
              <w:szCs w:val="32"/>
            </w:rPr>
            <w:t>录</w:t>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TOC \o "1-1" \h \u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_Toc7494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sz w:val="28"/>
              <w:szCs w:val="28"/>
            </w:rPr>
            <w:t>一、 总则</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_Toc7494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_Toc11611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sz w:val="28"/>
              <w:szCs w:val="28"/>
            </w:rPr>
            <w:t>二、 适用范围</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_Toc11611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_Toc31504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sz w:val="28"/>
              <w:szCs w:val="28"/>
            </w:rPr>
            <w:t>三、 市政工程设计收费基价</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_Toc31504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_Toc4367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sz w:val="28"/>
              <w:szCs w:val="28"/>
            </w:rPr>
            <w:t>四、 市政工程设计专业调整系数</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_Toc4367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9</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_Toc23586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sz w:val="28"/>
              <w:szCs w:val="28"/>
            </w:rPr>
            <w:t>五、 市政工程设计复杂程度影响系数</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_Toc23586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9</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_Toc1746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sz w:val="28"/>
              <w:szCs w:val="28"/>
            </w:rPr>
            <w:t>六、 市政工程设计附加调整系数</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_Toc1746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_Toc7997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sz w:val="28"/>
              <w:szCs w:val="28"/>
            </w:rPr>
            <w:t>七、 市政工程各阶段工作量比例</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_Toc7997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19</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_Toc741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sz w:val="28"/>
              <w:szCs w:val="28"/>
            </w:rPr>
            <w:t>八、 市政工程其他服务收费</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_Toc741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_Toc2216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sz w:val="28"/>
              <w:szCs w:val="28"/>
            </w:rPr>
            <w:t>九、 市政工程设计服务人工日法综合成本信息</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_Toc2216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keepNext w:val="0"/>
            <w:keepLines w:val="0"/>
            <w:pageBreakBefore w:val="0"/>
            <w:widowControl/>
            <w:kinsoku/>
            <w:wordWrap/>
            <w:overflowPunct/>
            <w:topLinePunct w:val="0"/>
            <w:autoSpaceDE/>
            <w:autoSpaceDN/>
            <w:bidi w:val="0"/>
            <w:adjustRightInd/>
            <w:snapToGrid/>
            <w:spacing w:line="360" w:lineRule="auto"/>
            <w:textAlignment w:val="auto"/>
          </w:pPr>
          <w:r>
            <w:rPr>
              <w:rFonts w:hint="eastAsia" w:asciiTheme="minorEastAsia" w:hAnsiTheme="minorEastAsia" w:eastAsiaTheme="minorEastAsia" w:cstheme="minorEastAsia"/>
              <w:sz w:val="28"/>
              <w:szCs w:val="28"/>
            </w:rPr>
            <w:fldChar w:fldCharType="end"/>
          </w:r>
        </w:p>
      </w:sdtContent>
    </w:sdt>
    <w:p>
      <w:pPr>
        <w:pageBreakBefore w:val="0"/>
        <w:numPr>
          <w:ilvl w:val="0"/>
          <w:numId w:val="1"/>
        </w:numPr>
        <w:kinsoku/>
        <w:wordWrap/>
        <w:overflowPunct/>
        <w:topLinePunct w:val="0"/>
        <w:autoSpaceDE/>
        <w:autoSpaceDN/>
        <w:bidi w:val="0"/>
        <w:adjustRightInd/>
        <w:snapToGrid/>
        <w:spacing w:line="360" w:lineRule="auto"/>
        <w:outlineLvl w:val="0"/>
        <w:rPr>
          <w:b/>
          <w:bCs/>
          <w:sz w:val="28"/>
          <w:szCs w:val="28"/>
        </w:rPr>
        <w:sectPr>
          <w:footerReference r:id="rId3" w:type="default"/>
          <w:pgSz w:w="11906" w:h="16838"/>
          <w:pgMar w:top="1440" w:right="1800" w:bottom="1440" w:left="1800" w:header="851" w:footer="992" w:gutter="0"/>
          <w:pgNumType w:start="1"/>
          <w:cols w:space="425" w:num="1"/>
          <w:docGrid w:type="lines" w:linePitch="312" w:charSpace="0"/>
        </w:sectPr>
      </w:pPr>
      <w:bookmarkStart w:id="4" w:name="_Toc7494"/>
    </w:p>
    <w:p>
      <w:pPr>
        <w:pageBreakBefore w:val="0"/>
        <w:numPr>
          <w:ilvl w:val="0"/>
          <w:numId w:val="1"/>
        </w:numPr>
        <w:kinsoku/>
        <w:wordWrap/>
        <w:overflowPunct/>
        <w:topLinePunct w:val="0"/>
        <w:autoSpaceDE/>
        <w:autoSpaceDN/>
        <w:bidi w:val="0"/>
        <w:adjustRightInd/>
        <w:snapToGrid/>
        <w:spacing w:line="360" w:lineRule="auto"/>
        <w:outlineLvl w:val="0"/>
        <w:rPr>
          <w:b/>
          <w:bCs/>
          <w:sz w:val="28"/>
          <w:szCs w:val="28"/>
        </w:rPr>
      </w:pPr>
      <w:r>
        <w:rPr>
          <w:rFonts w:hint="eastAsia"/>
          <w:b/>
          <w:bCs/>
          <w:sz w:val="28"/>
          <w:szCs w:val="28"/>
        </w:rPr>
        <w:t>总则</w:t>
      </w:r>
      <w:bookmarkEnd w:id="4"/>
    </w:p>
    <w:p>
      <w:pPr>
        <w:pageBreakBefore w:val="0"/>
        <w:numPr>
          <w:ilvl w:val="0"/>
          <w:numId w:val="2"/>
        </w:numPr>
        <w:kinsoku/>
        <w:wordWrap/>
        <w:overflowPunct/>
        <w:topLinePunct w:val="0"/>
        <w:autoSpaceDE/>
        <w:autoSpaceDN/>
        <w:bidi w:val="0"/>
        <w:adjustRightInd/>
        <w:snapToGrid/>
        <w:spacing w:line="360" w:lineRule="auto"/>
        <w:rPr>
          <w:sz w:val="28"/>
          <w:szCs w:val="28"/>
        </w:rPr>
      </w:pPr>
      <w:r>
        <w:rPr>
          <w:sz w:val="28"/>
          <w:szCs w:val="28"/>
        </w:rPr>
        <w:t>工程设计收费是指设计人根据发包人的委托，提供编制建设项目初步设计文件、施工图设计文件、施工图预算文件、竣工图文件等服务所收取的费用。</w:t>
      </w:r>
    </w:p>
    <w:p>
      <w:pPr>
        <w:pageBreakBefore w:val="0"/>
        <w:numPr>
          <w:ilvl w:val="0"/>
          <w:numId w:val="2"/>
        </w:numPr>
        <w:kinsoku/>
        <w:wordWrap/>
        <w:overflowPunct/>
        <w:topLinePunct w:val="0"/>
        <w:autoSpaceDE/>
        <w:autoSpaceDN/>
        <w:bidi w:val="0"/>
        <w:adjustRightInd/>
        <w:snapToGrid/>
        <w:spacing w:line="360" w:lineRule="auto"/>
        <w:rPr>
          <w:sz w:val="28"/>
          <w:szCs w:val="28"/>
        </w:rPr>
      </w:pPr>
      <w:r>
        <w:rPr>
          <w:sz w:val="28"/>
          <w:szCs w:val="28"/>
        </w:rPr>
        <w:t>工程设计收费采取按照建设项目单项工程概算投资额分档定额计费方法计算收费。</w:t>
      </w:r>
    </w:p>
    <w:p>
      <w:pPr>
        <w:pageBreakBefore w:val="0"/>
        <w:kinsoku/>
        <w:wordWrap/>
        <w:overflowPunct/>
        <w:topLinePunct w:val="0"/>
        <w:autoSpaceDE/>
        <w:autoSpaceDN/>
        <w:bidi w:val="0"/>
        <w:adjustRightInd/>
        <w:snapToGrid/>
        <w:spacing w:line="360" w:lineRule="auto"/>
        <w:ind w:firstLine="560" w:firstLineChars="200"/>
        <w:rPr>
          <w:sz w:val="28"/>
          <w:szCs w:val="28"/>
        </w:rPr>
      </w:pPr>
      <w:r>
        <w:rPr>
          <w:sz w:val="28"/>
          <w:szCs w:val="28"/>
        </w:rPr>
        <w:t>单项工程是指在整个建设项目中，具有独立的设计文件，建成后可以单独发挥生产能力或使用功能的工程项目。</w:t>
      </w:r>
    </w:p>
    <w:p>
      <w:pPr>
        <w:pageBreakBefore w:val="0"/>
        <w:numPr>
          <w:ilvl w:val="0"/>
          <w:numId w:val="2"/>
        </w:numPr>
        <w:kinsoku/>
        <w:wordWrap/>
        <w:overflowPunct/>
        <w:topLinePunct w:val="0"/>
        <w:autoSpaceDE/>
        <w:autoSpaceDN/>
        <w:bidi w:val="0"/>
        <w:adjustRightInd/>
        <w:snapToGrid/>
        <w:spacing w:line="360" w:lineRule="auto"/>
        <w:rPr>
          <w:sz w:val="28"/>
          <w:szCs w:val="28"/>
        </w:rPr>
      </w:pPr>
      <w:bookmarkStart w:id="5" w:name="_Toc8255"/>
      <w:r>
        <w:rPr>
          <w:sz w:val="28"/>
          <w:szCs w:val="28"/>
        </w:rPr>
        <w:t>工程设计收费按照下列公式计算</w:t>
      </w:r>
      <w:bookmarkEnd w:id="5"/>
    </w:p>
    <w:p>
      <w:pPr>
        <w:pageBreakBefore w:val="0"/>
        <w:kinsoku/>
        <w:wordWrap/>
        <w:overflowPunct/>
        <w:topLinePunct w:val="0"/>
        <w:autoSpaceDE/>
        <w:autoSpaceDN/>
        <w:bidi w:val="0"/>
        <w:adjustRightInd/>
        <w:snapToGrid/>
        <w:spacing w:line="360" w:lineRule="auto"/>
        <w:ind w:firstLine="560" w:firstLineChars="200"/>
        <w:rPr>
          <w:sz w:val="28"/>
          <w:szCs w:val="28"/>
        </w:rPr>
      </w:pPr>
      <w:r>
        <w:rPr>
          <w:sz w:val="28"/>
          <w:szCs w:val="28"/>
        </w:rPr>
        <w:t>工程设计收费为整个建设项目包含的所有单项工程设计费的合计，各单项工程设计费计算公式为：</w:t>
      </w:r>
    </w:p>
    <w:p>
      <w:pPr>
        <w:pageBreakBefore w:val="0"/>
        <w:numPr>
          <w:ilvl w:val="0"/>
          <w:numId w:val="3"/>
        </w:numPr>
        <w:kinsoku/>
        <w:wordWrap/>
        <w:overflowPunct/>
        <w:topLinePunct w:val="0"/>
        <w:autoSpaceDE/>
        <w:autoSpaceDN/>
        <w:bidi w:val="0"/>
        <w:adjustRightInd/>
        <w:snapToGrid/>
        <w:spacing w:line="360" w:lineRule="auto"/>
        <w:rPr>
          <w:sz w:val="28"/>
          <w:szCs w:val="28"/>
        </w:rPr>
      </w:pPr>
      <w:r>
        <w:rPr>
          <w:sz w:val="28"/>
          <w:szCs w:val="28"/>
        </w:rPr>
        <w:t>工程设计收费＝工程设计收费基准价×（1±浮动幅度值）</w:t>
      </w:r>
    </w:p>
    <w:p>
      <w:pPr>
        <w:pageBreakBefore w:val="0"/>
        <w:numPr>
          <w:ilvl w:val="0"/>
          <w:numId w:val="3"/>
        </w:numPr>
        <w:kinsoku/>
        <w:wordWrap/>
        <w:overflowPunct/>
        <w:topLinePunct w:val="0"/>
        <w:autoSpaceDE/>
        <w:autoSpaceDN/>
        <w:bidi w:val="0"/>
        <w:adjustRightInd/>
        <w:snapToGrid/>
        <w:spacing w:line="360" w:lineRule="auto"/>
        <w:rPr>
          <w:sz w:val="28"/>
          <w:szCs w:val="28"/>
        </w:rPr>
      </w:pPr>
      <w:r>
        <w:rPr>
          <w:sz w:val="28"/>
          <w:szCs w:val="28"/>
        </w:rPr>
        <w:t>工程设计收费基准价＝基本设计收费＋其他设计收费</w:t>
      </w:r>
    </w:p>
    <w:p>
      <w:pPr>
        <w:pageBreakBefore w:val="0"/>
        <w:numPr>
          <w:ilvl w:val="0"/>
          <w:numId w:val="3"/>
        </w:numPr>
        <w:kinsoku/>
        <w:wordWrap/>
        <w:overflowPunct/>
        <w:topLinePunct w:val="0"/>
        <w:autoSpaceDE/>
        <w:autoSpaceDN/>
        <w:bidi w:val="0"/>
        <w:adjustRightInd/>
        <w:snapToGrid/>
        <w:spacing w:line="360" w:lineRule="auto"/>
        <w:rPr>
          <w:sz w:val="28"/>
          <w:szCs w:val="28"/>
        </w:rPr>
      </w:pPr>
      <w:r>
        <w:rPr>
          <w:sz w:val="28"/>
          <w:szCs w:val="28"/>
        </w:rPr>
        <w:t>基本设计收费＝工程设计收费基价×专业调整系数×工程复杂程度调整系数×附加调整系数</w:t>
      </w:r>
    </w:p>
    <w:p>
      <w:pPr>
        <w:pageBreakBefore w:val="0"/>
        <w:kinsoku/>
        <w:wordWrap/>
        <w:overflowPunct/>
        <w:topLinePunct w:val="0"/>
        <w:autoSpaceDE/>
        <w:autoSpaceDN/>
        <w:bidi w:val="0"/>
        <w:adjustRightInd/>
        <w:snapToGrid/>
        <w:spacing w:line="360" w:lineRule="auto"/>
        <w:ind w:firstLine="560" w:firstLineChars="200"/>
        <w:rPr>
          <w:sz w:val="28"/>
          <w:szCs w:val="28"/>
        </w:rPr>
      </w:pPr>
      <w:r>
        <w:rPr>
          <w:sz w:val="28"/>
          <w:szCs w:val="28"/>
        </w:rPr>
        <w:t>浮动幅度值是指因非工程技术因素并经设计人与发包人</w:t>
      </w:r>
      <w:r>
        <w:rPr>
          <w:rFonts w:hint="eastAsia"/>
          <w:sz w:val="28"/>
          <w:szCs w:val="28"/>
          <w:lang w:eastAsia="zh-CN"/>
        </w:rPr>
        <w:t>协商</w:t>
      </w:r>
      <w:r>
        <w:rPr>
          <w:sz w:val="28"/>
          <w:szCs w:val="28"/>
        </w:rPr>
        <w:t>确定的设计收费总额的合理浮动值，浮动幅度值不应大于20%。</w:t>
      </w:r>
    </w:p>
    <w:p>
      <w:pPr>
        <w:pageBreakBefore w:val="0"/>
        <w:numPr>
          <w:ilvl w:val="0"/>
          <w:numId w:val="2"/>
        </w:numPr>
        <w:kinsoku/>
        <w:wordWrap/>
        <w:overflowPunct/>
        <w:topLinePunct w:val="0"/>
        <w:autoSpaceDE/>
        <w:autoSpaceDN/>
        <w:bidi w:val="0"/>
        <w:adjustRightInd/>
        <w:snapToGrid/>
        <w:spacing w:line="360" w:lineRule="auto"/>
        <w:rPr>
          <w:sz w:val="28"/>
          <w:szCs w:val="28"/>
        </w:rPr>
      </w:pPr>
      <w:bookmarkStart w:id="6" w:name="_Toc7169"/>
      <w:r>
        <w:rPr>
          <w:sz w:val="28"/>
          <w:szCs w:val="28"/>
        </w:rPr>
        <w:t>工程设计收费基准价</w:t>
      </w:r>
      <w:bookmarkEnd w:id="6"/>
    </w:p>
    <w:p>
      <w:pPr>
        <w:pageBreakBefore w:val="0"/>
        <w:kinsoku/>
        <w:wordWrap/>
        <w:overflowPunct/>
        <w:topLinePunct w:val="0"/>
        <w:autoSpaceDE/>
        <w:autoSpaceDN/>
        <w:bidi w:val="0"/>
        <w:adjustRightInd/>
        <w:snapToGrid/>
        <w:spacing w:line="360" w:lineRule="auto"/>
        <w:ind w:firstLine="560" w:firstLineChars="200"/>
        <w:rPr>
          <w:sz w:val="28"/>
          <w:szCs w:val="28"/>
        </w:rPr>
      </w:pPr>
      <w:r>
        <w:rPr>
          <w:sz w:val="28"/>
          <w:szCs w:val="28"/>
        </w:rPr>
        <w:t>工程设计收费基准价是按照本收费标准计算出的工程设计基准收费额，发包人和设计人根据实际情况，在规定的浮动幅度内协商确定工程设计收费合同额。</w:t>
      </w:r>
    </w:p>
    <w:p>
      <w:pPr>
        <w:pageBreakBefore w:val="0"/>
        <w:numPr>
          <w:ilvl w:val="0"/>
          <w:numId w:val="2"/>
        </w:numPr>
        <w:kinsoku/>
        <w:wordWrap/>
        <w:overflowPunct/>
        <w:topLinePunct w:val="0"/>
        <w:autoSpaceDE/>
        <w:autoSpaceDN/>
        <w:bidi w:val="0"/>
        <w:adjustRightInd/>
        <w:snapToGrid/>
        <w:spacing w:line="360" w:lineRule="auto"/>
        <w:rPr>
          <w:sz w:val="28"/>
          <w:szCs w:val="28"/>
        </w:rPr>
      </w:pPr>
      <w:bookmarkStart w:id="7" w:name="_Toc2158"/>
      <w:r>
        <w:rPr>
          <w:sz w:val="28"/>
          <w:szCs w:val="28"/>
        </w:rPr>
        <w:t>基本设计收费</w:t>
      </w:r>
      <w:bookmarkEnd w:id="7"/>
    </w:p>
    <w:p>
      <w:pPr>
        <w:pageBreakBefore w:val="0"/>
        <w:kinsoku/>
        <w:wordWrap/>
        <w:overflowPunct/>
        <w:topLinePunct w:val="0"/>
        <w:autoSpaceDE/>
        <w:autoSpaceDN/>
        <w:bidi w:val="0"/>
        <w:adjustRightInd/>
        <w:snapToGrid/>
        <w:spacing w:line="360" w:lineRule="auto"/>
        <w:ind w:firstLine="560" w:firstLineChars="200"/>
        <w:rPr>
          <w:sz w:val="28"/>
          <w:szCs w:val="28"/>
        </w:rPr>
      </w:pPr>
      <w:r>
        <w:rPr>
          <w:sz w:val="28"/>
          <w:szCs w:val="28"/>
        </w:rPr>
        <w:t>基本设计收费是指在工程设计中提供编制初步设计文件</w:t>
      </w:r>
      <w:r>
        <w:rPr>
          <w:rFonts w:hint="eastAsia"/>
          <w:sz w:val="28"/>
          <w:szCs w:val="28"/>
        </w:rPr>
        <w:t>（含工程概算）</w:t>
      </w:r>
      <w:r>
        <w:rPr>
          <w:sz w:val="28"/>
          <w:szCs w:val="28"/>
        </w:rPr>
        <w:t>、施工图设计文件（不含施工图预算和工程量清单编制）收取的费用，并相应提供设计技术交底、解决施工中的设计技术问题、参加试车考核和竣工验收等服务。</w:t>
      </w:r>
    </w:p>
    <w:p>
      <w:pPr>
        <w:pageBreakBefore w:val="0"/>
        <w:numPr>
          <w:ilvl w:val="0"/>
          <w:numId w:val="2"/>
        </w:numPr>
        <w:kinsoku/>
        <w:wordWrap/>
        <w:overflowPunct/>
        <w:topLinePunct w:val="0"/>
        <w:autoSpaceDE/>
        <w:autoSpaceDN/>
        <w:bidi w:val="0"/>
        <w:adjustRightInd/>
        <w:snapToGrid/>
        <w:spacing w:line="360" w:lineRule="auto"/>
        <w:rPr>
          <w:sz w:val="28"/>
          <w:szCs w:val="28"/>
        </w:rPr>
      </w:pPr>
      <w:bookmarkStart w:id="8" w:name="_Toc16318"/>
      <w:r>
        <w:rPr>
          <w:sz w:val="28"/>
          <w:szCs w:val="28"/>
        </w:rPr>
        <w:t>其他设计收费</w:t>
      </w:r>
      <w:bookmarkEnd w:id="8"/>
    </w:p>
    <w:p>
      <w:pPr>
        <w:pageBreakBefore w:val="0"/>
        <w:kinsoku/>
        <w:wordWrap/>
        <w:overflowPunct/>
        <w:topLinePunct w:val="0"/>
        <w:autoSpaceDE/>
        <w:autoSpaceDN/>
        <w:bidi w:val="0"/>
        <w:adjustRightInd/>
        <w:snapToGrid/>
        <w:spacing w:line="360" w:lineRule="auto"/>
        <w:ind w:firstLine="560" w:firstLineChars="200"/>
        <w:rPr>
          <w:sz w:val="28"/>
          <w:szCs w:val="28"/>
        </w:rPr>
      </w:pPr>
      <w:r>
        <w:rPr>
          <w:sz w:val="28"/>
          <w:szCs w:val="28"/>
        </w:rPr>
        <w:t>其他设计收费是指根据工程设计实际需要或者发包人要求提供相关服务收取的费用，包括总体设计费、主体设计协调费、采用标准设计和复用设计费、施工图预算编制费、竣工图编制费等。</w:t>
      </w:r>
    </w:p>
    <w:p>
      <w:pPr>
        <w:pageBreakBefore w:val="0"/>
        <w:numPr>
          <w:ilvl w:val="0"/>
          <w:numId w:val="2"/>
        </w:numPr>
        <w:kinsoku/>
        <w:wordWrap/>
        <w:overflowPunct/>
        <w:topLinePunct w:val="0"/>
        <w:autoSpaceDE/>
        <w:autoSpaceDN/>
        <w:bidi w:val="0"/>
        <w:adjustRightInd/>
        <w:snapToGrid/>
        <w:spacing w:line="360" w:lineRule="auto"/>
        <w:rPr>
          <w:sz w:val="28"/>
          <w:szCs w:val="28"/>
        </w:rPr>
      </w:pPr>
      <w:bookmarkStart w:id="9" w:name="_Toc4346"/>
      <w:r>
        <w:rPr>
          <w:sz w:val="28"/>
          <w:szCs w:val="28"/>
        </w:rPr>
        <w:t>工程设计收费基价</w:t>
      </w:r>
      <w:bookmarkEnd w:id="9"/>
    </w:p>
    <w:p>
      <w:pPr>
        <w:pageBreakBefore w:val="0"/>
        <w:kinsoku/>
        <w:wordWrap/>
        <w:overflowPunct/>
        <w:topLinePunct w:val="0"/>
        <w:autoSpaceDE/>
        <w:autoSpaceDN/>
        <w:bidi w:val="0"/>
        <w:adjustRightInd/>
        <w:snapToGrid/>
        <w:spacing w:line="360" w:lineRule="auto"/>
        <w:ind w:firstLine="560" w:firstLineChars="200"/>
        <w:rPr>
          <w:sz w:val="28"/>
          <w:szCs w:val="28"/>
        </w:rPr>
      </w:pPr>
      <w:r>
        <w:rPr>
          <w:sz w:val="28"/>
          <w:szCs w:val="28"/>
        </w:rPr>
        <w:t>工程设计收费基价是完成基本服务的价格。工程设计收费基价在《</w:t>
      </w:r>
      <w:r>
        <w:rPr>
          <w:rFonts w:hint="eastAsia"/>
          <w:sz w:val="28"/>
          <w:szCs w:val="28"/>
        </w:rPr>
        <w:t>市政</w:t>
      </w:r>
      <w:r>
        <w:rPr>
          <w:sz w:val="28"/>
          <w:szCs w:val="28"/>
        </w:rPr>
        <w:t>工程设计收费基价表》中查找确定，计费额处于两个数值区间的，采用直线内插法确定工程设计收费基价。</w:t>
      </w:r>
    </w:p>
    <w:p>
      <w:pPr>
        <w:pageBreakBefore w:val="0"/>
        <w:numPr>
          <w:ilvl w:val="0"/>
          <w:numId w:val="2"/>
        </w:numPr>
        <w:kinsoku/>
        <w:wordWrap/>
        <w:overflowPunct/>
        <w:topLinePunct w:val="0"/>
        <w:autoSpaceDE/>
        <w:autoSpaceDN/>
        <w:bidi w:val="0"/>
        <w:adjustRightInd/>
        <w:snapToGrid/>
        <w:spacing w:line="360" w:lineRule="auto"/>
        <w:rPr>
          <w:sz w:val="28"/>
          <w:szCs w:val="28"/>
        </w:rPr>
      </w:pPr>
      <w:bookmarkStart w:id="10" w:name="_Toc12526"/>
      <w:r>
        <w:rPr>
          <w:sz w:val="28"/>
          <w:szCs w:val="28"/>
        </w:rPr>
        <w:t>工程设计收费计费额</w:t>
      </w:r>
      <w:bookmarkEnd w:id="10"/>
    </w:p>
    <w:p>
      <w:pPr>
        <w:pageBreakBefore w:val="0"/>
        <w:kinsoku/>
        <w:wordWrap/>
        <w:overflowPunct/>
        <w:topLinePunct w:val="0"/>
        <w:autoSpaceDE/>
        <w:autoSpaceDN/>
        <w:bidi w:val="0"/>
        <w:adjustRightInd/>
        <w:snapToGrid/>
        <w:spacing w:line="360" w:lineRule="auto"/>
        <w:ind w:firstLine="560" w:firstLineChars="200"/>
        <w:rPr>
          <w:sz w:val="28"/>
          <w:szCs w:val="28"/>
        </w:rPr>
      </w:pPr>
      <w:r>
        <w:rPr>
          <w:sz w:val="28"/>
          <w:szCs w:val="28"/>
        </w:rPr>
        <w:t>工程设计收费计费额，为经过批准的建设项目</w:t>
      </w:r>
      <w:r>
        <w:rPr>
          <w:rFonts w:hint="eastAsia"/>
          <w:sz w:val="28"/>
          <w:szCs w:val="28"/>
        </w:rPr>
        <w:t>初步设计</w:t>
      </w:r>
      <w:r>
        <w:rPr>
          <w:sz w:val="28"/>
          <w:szCs w:val="28"/>
        </w:rPr>
        <w:t>概算中的建筑安装工程费、设备与工器具购置费和联合试运转费之和。对于无初步设计概算的工程项目，按照可研批复的投资估算额计算</w:t>
      </w:r>
      <w:r>
        <w:rPr>
          <w:rFonts w:hint="eastAsia"/>
          <w:sz w:val="28"/>
          <w:szCs w:val="28"/>
        </w:rPr>
        <w:t>。</w:t>
      </w:r>
    </w:p>
    <w:p>
      <w:pPr>
        <w:pageBreakBefore w:val="0"/>
        <w:kinsoku/>
        <w:wordWrap/>
        <w:overflowPunct/>
        <w:topLinePunct w:val="0"/>
        <w:autoSpaceDE/>
        <w:autoSpaceDN/>
        <w:bidi w:val="0"/>
        <w:adjustRightInd/>
        <w:snapToGrid/>
        <w:spacing w:line="360" w:lineRule="auto"/>
        <w:ind w:firstLine="560" w:firstLineChars="200"/>
        <w:rPr>
          <w:sz w:val="28"/>
          <w:szCs w:val="28"/>
        </w:rPr>
      </w:pPr>
      <w:r>
        <w:rPr>
          <w:sz w:val="28"/>
          <w:szCs w:val="28"/>
        </w:rPr>
        <w:t>工程中有利用原有设备的，以签订工程设计合同时同类设备的当期价格作为工程设计收费的计费额；工程中有缓配设备，但按照合同要求以既配设备进行工程设计并达到设备安装和工艺条件的，以既配设备的当期价格作为工程设计收费的计费额；工程中有引进设备的，按照购进设备的离岸价折换成人民币作为工程设计收费的计费额。</w:t>
      </w:r>
    </w:p>
    <w:p>
      <w:pPr>
        <w:pageBreakBefore w:val="0"/>
        <w:numPr>
          <w:ilvl w:val="0"/>
          <w:numId w:val="2"/>
        </w:numPr>
        <w:kinsoku/>
        <w:wordWrap/>
        <w:overflowPunct/>
        <w:topLinePunct w:val="0"/>
        <w:autoSpaceDE/>
        <w:autoSpaceDN/>
        <w:bidi w:val="0"/>
        <w:adjustRightInd/>
        <w:snapToGrid/>
        <w:spacing w:line="360" w:lineRule="auto"/>
        <w:rPr>
          <w:sz w:val="28"/>
          <w:szCs w:val="28"/>
        </w:rPr>
      </w:pPr>
      <w:bookmarkStart w:id="11" w:name="_Toc27267"/>
      <w:r>
        <w:rPr>
          <w:sz w:val="28"/>
          <w:szCs w:val="28"/>
        </w:rPr>
        <w:t>工程设计收费调整系数</w:t>
      </w:r>
      <w:bookmarkEnd w:id="11"/>
    </w:p>
    <w:p>
      <w:pPr>
        <w:pageBreakBefore w:val="0"/>
        <w:kinsoku/>
        <w:wordWrap/>
        <w:overflowPunct/>
        <w:topLinePunct w:val="0"/>
        <w:autoSpaceDE/>
        <w:autoSpaceDN/>
        <w:bidi w:val="0"/>
        <w:adjustRightInd/>
        <w:snapToGrid/>
        <w:spacing w:line="360" w:lineRule="auto"/>
        <w:ind w:firstLine="560" w:firstLineChars="200"/>
        <w:rPr>
          <w:sz w:val="28"/>
          <w:szCs w:val="28"/>
        </w:rPr>
      </w:pPr>
      <w:r>
        <w:rPr>
          <w:sz w:val="28"/>
          <w:szCs w:val="28"/>
        </w:rPr>
        <w:t>工程设计收费标准的调整系数包括：专业调整系数、工程复杂程度调整系数和附加调整系数。</w:t>
      </w:r>
    </w:p>
    <w:p>
      <w:pPr>
        <w:pageBreakBefore w:val="0"/>
        <w:numPr>
          <w:ilvl w:val="0"/>
          <w:numId w:val="4"/>
        </w:numPr>
        <w:kinsoku/>
        <w:wordWrap/>
        <w:overflowPunct/>
        <w:topLinePunct w:val="0"/>
        <w:autoSpaceDE/>
        <w:autoSpaceDN/>
        <w:bidi w:val="0"/>
        <w:adjustRightInd/>
        <w:snapToGrid/>
        <w:spacing w:line="360" w:lineRule="auto"/>
        <w:rPr>
          <w:sz w:val="28"/>
          <w:szCs w:val="28"/>
        </w:rPr>
      </w:pPr>
      <w:r>
        <w:rPr>
          <w:sz w:val="28"/>
          <w:szCs w:val="28"/>
        </w:rPr>
        <w:t>专业调整系数是对不同专业建设项目的工程设计复杂程度和工作量差异进行调整的系数。专业调整系数</w:t>
      </w:r>
      <w:r>
        <w:rPr>
          <w:rFonts w:hint="eastAsia"/>
          <w:sz w:val="28"/>
          <w:szCs w:val="28"/>
        </w:rPr>
        <w:t>详见第四条</w:t>
      </w:r>
      <w:r>
        <w:rPr>
          <w:sz w:val="28"/>
          <w:szCs w:val="28"/>
        </w:rPr>
        <w:t>。</w:t>
      </w:r>
    </w:p>
    <w:p>
      <w:pPr>
        <w:pageBreakBefore w:val="0"/>
        <w:numPr>
          <w:ilvl w:val="0"/>
          <w:numId w:val="4"/>
        </w:numPr>
        <w:kinsoku/>
        <w:wordWrap/>
        <w:overflowPunct/>
        <w:topLinePunct w:val="0"/>
        <w:autoSpaceDE/>
        <w:autoSpaceDN/>
        <w:bidi w:val="0"/>
        <w:adjustRightInd/>
        <w:snapToGrid/>
        <w:spacing w:line="360" w:lineRule="auto"/>
        <w:rPr>
          <w:sz w:val="28"/>
          <w:szCs w:val="28"/>
        </w:rPr>
      </w:pPr>
      <w:r>
        <w:rPr>
          <w:sz w:val="28"/>
          <w:szCs w:val="28"/>
        </w:rPr>
        <w:t>工程复杂程度调整系数是对同一专业不同建设项目的工程设计复杂程度和工作量差异进行调整的系数。工程复杂程度分为一般、较复杂</w:t>
      </w:r>
      <w:r>
        <w:rPr>
          <w:rFonts w:hint="eastAsia"/>
          <w:sz w:val="28"/>
          <w:szCs w:val="28"/>
        </w:rPr>
        <w:t>、</w:t>
      </w:r>
      <w:r>
        <w:rPr>
          <w:sz w:val="28"/>
          <w:szCs w:val="28"/>
        </w:rPr>
        <w:t>复杂</w:t>
      </w:r>
      <w:r>
        <w:rPr>
          <w:rFonts w:hint="eastAsia"/>
          <w:sz w:val="28"/>
          <w:szCs w:val="28"/>
        </w:rPr>
        <w:t>和特别复杂四</w:t>
      </w:r>
      <w:r>
        <w:rPr>
          <w:sz w:val="28"/>
          <w:szCs w:val="28"/>
        </w:rPr>
        <w:t>个等级，其调整系数分别为：一般（Ⅰ级）0.85；较复杂（Ⅱ级）1.0；复杂（Ⅲ级）1.15</w:t>
      </w:r>
      <w:r>
        <w:rPr>
          <w:rFonts w:hint="eastAsia"/>
          <w:sz w:val="28"/>
          <w:szCs w:val="28"/>
        </w:rPr>
        <w:t>；特别复杂（Ⅳ级）1.3</w:t>
      </w:r>
      <w:r>
        <w:rPr>
          <w:sz w:val="28"/>
          <w:szCs w:val="28"/>
        </w:rPr>
        <w:t>。工程复杂程度</w:t>
      </w:r>
      <w:r>
        <w:rPr>
          <w:rFonts w:hint="eastAsia"/>
          <w:sz w:val="28"/>
          <w:szCs w:val="28"/>
        </w:rPr>
        <w:t>及调整系数详见第五条</w:t>
      </w:r>
      <w:r>
        <w:rPr>
          <w:sz w:val="28"/>
          <w:szCs w:val="28"/>
        </w:rPr>
        <w:t>。</w:t>
      </w:r>
    </w:p>
    <w:p>
      <w:pPr>
        <w:pageBreakBefore w:val="0"/>
        <w:numPr>
          <w:ilvl w:val="0"/>
          <w:numId w:val="4"/>
        </w:numPr>
        <w:kinsoku/>
        <w:wordWrap/>
        <w:overflowPunct/>
        <w:topLinePunct w:val="0"/>
        <w:autoSpaceDE/>
        <w:autoSpaceDN/>
        <w:bidi w:val="0"/>
        <w:adjustRightInd/>
        <w:snapToGrid/>
        <w:spacing w:line="360" w:lineRule="auto"/>
        <w:rPr>
          <w:sz w:val="28"/>
          <w:szCs w:val="28"/>
        </w:rPr>
      </w:pPr>
      <w:r>
        <w:rPr>
          <w:sz w:val="28"/>
          <w:szCs w:val="28"/>
        </w:rPr>
        <w:t>附加调整系数是对专业调整系数和工程复杂程度调整系数尚不能调整的因素进行补充调整的系数</w:t>
      </w:r>
      <w:r>
        <w:rPr>
          <w:rFonts w:hint="eastAsia"/>
          <w:sz w:val="28"/>
          <w:szCs w:val="28"/>
        </w:rPr>
        <w:t>，详见第六条</w:t>
      </w:r>
      <w:r>
        <w:rPr>
          <w:sz w:val="28"/>
          <w:szCs w:val="28"/>
        </w:rPr>
        <w:t>。附加调整系数为两个或两个以上的，附加调整系数不能连乘。将各附加调整系数相加，减去附加调整系数的个数，加上定值1，作为附加调整系数值。</w:t>
      </w:r>
    </w:p>
    <w:p>
      <w:pPr>
        <w:pageBreakBefore w:val="0"/>
        <w:numPr>
          <w:ilvl w:val="0"/>
          <w:numId w:val="2"/>
        </w:numPr>
        <w:kinsoku/>
        <w:wordWrap/>
        <w:overflowPunct/>
        <w:topLinePunct w:val="0"/>
        <w:autoSpaceDE/>
        <w:autoSpaceDN/>
        <w:bidi w:val="0"/>
        <w:adjustRightInd/>
        <w:snapToGrid/>
        <w:spacing w:line="360" w:lineRule="auto"/>
        <w:rPr>
          <w:sz w:val="28"/>
          <w:szCs w:val="28"/>
        </w:rPr>
      </w:pPr>
      <w:r>
        <w:rPr>
          <w:sz w:val="28"/>
          <w:szCs w:val="28"/>
        </w:rPr>
        <w:t>单独委托工艺设计、土建以及公用工程设计、初步设计、施工图设计的，按照其占基本服务设计工作量的比例计算工程设计收费。</w:t>
      </w:r>
    </w:p>
    <w:p>
      <w:pPr>
        <w:pageBreakBefore w:val="0"/>
        <w:numPr>
          <w:ilvl w:val="0"/>
          <w:numId w:val="2"/>
        </w:numPr>
        <w:kinsoku/>
        <w:wordWrap/>
        <w:overflowPunct/>
        <w:topLinePunct w:val="0"/>
        <w:autoSpaceDE/>
        <w:autoSpaceDN/>
        <w:bidi w:val="0"/>
        <w:adjustRightInd/>
        <w:snapToGrid/>
        <w:spacing w:line="360" w:lineRule="auto"/>
        <w:rPr>
          <w:sz w:val="28"/>
          <w:szCs w:val="28"/>
        </w:rPr>
      </w:pPr>
      <w:r>
        <w:rPr>
          <w:sz w:val="28"/>
          <w:szCs w:val="28"/>
        </w:rPr>
        <w:t>改扩建和技术改造建设项目，附加调整系数为1.1～1.4。根据工程设计复杂程度确定适当的附加调整系数，计算工程设计收费。</w:t>
      </w:r>
    </w:p>
    <w:p>
      <w:pPr>
        <w:pageBreakBefore w:val="0"/>
        <w:numPr>
          <w:ilvl w:val="0"/>
          <w:numId w:val="2"/>
        </w:numPr>
        <w:kinsoku/>
        <w:wordWrap/>
        <w:overflowPunct/>
        <w:topLinePunct w:val="0"/>
        <w:autoSpaceDE/>
        <w:autoSpaceDN/>
        <w:bidi w:val="0"/>
        <w:adjustRightInd/>
        <w:snapToGrid/>
        <w:spacing w:line="360" w:lineRule="auto"/>
        <w:rPr>
          <w:sz w:val="28"/>
          <w:szCs w:val="28"/>
        </w:rPr>
      </w:pPr>
      <w:r>
        <w:rPr>
          <w:sz w:val="28"/>
          <w:szCs w:val="28"/>
        </w:rPr>
        <w:t>初步设计之前，根据技术标准的规定或者发包人的要求，需要编制总体设计的，按照该建设项目基本设计收费的5%加收总体设计费。</w:t>
      </w:r>
    </w:p>
    <w:p>
      <w:pPr>
        <w:pageBreakBefore w:val="0"/>
        <w:numPr>
          <w:ilvl w:val="0"/>
          <w:numId w:val="2"/>
        </w:numPr>
        <w:kinsoku/>
        <w:wordWrap/>
        <w:overflowPunct/>
        <w:topLinePunct w:val="0"/>
        <w:autoSpaceDE/>
        <w:autoSpaceDN/>
        <w:bidi w:val="0"/>
        <w:adjustRightInd/>
        <w:snapToGrid/>
        <w:spacing w:line="360" w:lineRule="auto"/>
        <w:rPr>
          <w:sz w:val="28"/>
          <w:szCs w:val="28"/>
        </w:rPr>
      </w:pPr>
      <w:r>
        <w:rPr>
          <w:sz w:val="28"/>
          <w:szCs w:val="28"/>
        </w:rPr>
        <w:t>建设项目工程设计由两个或者两个以上设计人承担的，其中对建设项目工程设计合理性和整体性负责的设计人，按照该建设项目基本设计收费的5％加收工程设计协调费。</w:t>
      </w:r>
    </w:p>
    <w:p>
      <w:pPr>
        <w:pageBreakBefore w:val="0"/>
        <w:numPr>
          <w:ilvl w:val="0"/>
          <w:numId w:val="2"/>
        </w:numPr>
        <w:kinsoku/>
        <w:wordWrap/>
        <w:overflowPunct/>
        <w:topLinePunct w:val="0"/>
        <w:autoSpaceDE/>
        <w:autoSpaceDN/>
        <w:bidi w:val="0"/>
        <w:adjustRightInd/>
        <w:snapToGrid/>
        <w:spacing w:line="360" w:lineRule="auto"/>
        <w:rPr>
          <w:sz w:val="28"/>
          <w:szCs w:val="28"/>
        </w:rPr>
      </w:pPr>
      <w:r>
        <w:rPr>
          <w:rFonts w:hint="eastAsia"/>
          <w:sz w:val="28"/>
          <w:szCs w:val="28"/>
        </w:rPr>
        <w:t>路桥照明工程</w:t>
      </w:r>
      <w:r>
        <w:rPr>
          <w:sz w:val="28"/>
          <w:szCs w:val="28"/>
        </w:rPr>
        <w:t>设计收费</w:t>
      </w:r>
      <w:r>
        <w:rPr>
          <w:rFonts w:hint="eastAsia"/>
          <w:sz w:val="28"/>
          <w:szCs w:val="28"/>
        </w:rPr>
        <w:t>调整系数参考道路交通工程确定；电力管道工程、电信管道工程</w:t>
      </w:r>
      <w:r>
        <w:rPr>
          <w:sz w:val="28"/>
          <w:szCs w:val="28"/>
        </w:rPr>
        <w:t>收费</w:t>
      </w:r>
      <w:r>
        <w:rPr>
          <w:rFonts w:hint="eastAsia"/>
          <w:sz w:val="28"/>
          <w:szCs w:val="28"/>
        </w:rPr>
        <w:t>调整系数参考给排水工程确定。</w:t>
      </w:r>
    </w:p>
    <w:p>
      <w:pPr>
        <w:pageBreakBefore w:val="0"/>
        <w:numPr>
          <w:ilvl w:val="0"/>
          <w:numId w:val="2"/>
        </w:numPr>
        <w:kinsoku/>
        <w:wordWrap/>
        <w:overflowPunct/>
        <w:topLinePunct w:val="0"/>
        <w:autoSpaceDE/>
        <w:autoSpaceDN/>
        <w:bidi w:val="0"/>
        <w:adjustRightInd/>
        <w:snapToGrid/>
        <w:spacing w:line="360" w:lineRule="auto"/>
        <w:rPr>
          <w:sz w:val="28"/>
          <w:szCs w:val="28"/>
        </w:rPr>
      </w:pPr>
      <w:r>
        <w:rPr>
          <w:sz w:val="28"/>
          <w:szCs w:val="28"/>
        </w:rPr>
        <w:t>编制工程施工图预算的，按照该建设项目基本设计收费的10％收取施工图预算编制费；编制工程竣工图的，按照该建设项目基本设计收费的8％收取竣工图编制费。</w:t>
      </w:r>
    </w:p>
    <w:p>
      <w:pPr>
        <w:pageBreakBefore w:val="0"/>
        <w:numPr>
          <w:ilvl w:val="0"/>
          <w:numId w:val="2"/>
        </w:numPr>
        <w:kinsoku/>
        <w:wordWrap/>
        <w:overflowPunct/>
        <w:topLinePunct w:val="0"/>
        <w:autoSpaceDE/>
        <w:autoSpaceDN/>
        <w:bidi w:val="0"/>
        <w:adjustRightInd/>
        <w:snapToGrid/>
        <w:spacing w:line="360" w:lineRule="auto"/>
        <w:rPr>
          <w:sz w:val="28"/>
          <w:szCs w:val="28"/>
        </w:rPr>
      </w:pPr>
      <w:r>
        <w:rPr>
          <w:sz w:val="28"/>
          <w:szCs w:val="28"/>
        </w:rPr>
        <w:t>工程设计中采用设计人自有专利或者专有技术的，其专利和专有技术收费由发包人与设计人协商确定。</w:t>
      </w:r>
    </w:p>
    <w:p>
      <w:pPr>
        <w:pageBreakBefore w:val="0"/>
        <w:numPr>
          <w:ilvl w:val="0"/>
          <w:numId w:val="2"/>
        </w:numPr>
        <w:kinsoku/>
        <w:wordWrap/>
        <w:overflowPunct/>
        <w:topLinePunct w:val="0"/>
        <w:autoSpaceDE/>
        <w:autoSpaceDN/>
        <w:bidi w:val="0"/>
        <w:adjustRightInd/>
        <w:snapToGrid/>
        <w:spacing w:line="360" w:lineRule="auto"/>
        <w:rPr>
          <w:sz w:val="28"/>
          <w:szCs w:val="28"/>
        </w:rPr>
      </w:pPr>
      <w:r>
        <w:rPr>
          <w:sz w:val="28"/>
          <w:szCs w:val="28"/>
        </w:rPr>
        <w:t>工程设计中的引进技术需要境内设计人配合设计的，或者需要按照境外设计程序和技术质量要求由境内设计人进行设计的，工程设计收费由发包人与设计人根据实际发生的设计工作量，参照本标准协商确定。</w:t>
      </w:r>
    </w:p>
    <w:p>
      <w:pPr>
        <w:pageBreakBefore w:val="0"/>
        <w:numPr>
          <w:ilvl w:val="0"/>
          <w:numId w:val="2"/>
        </w:numPr>
        <w:kinsoku/>
        <w:wordWrap/>
        <w:overflowPunct/>
        <w:topLinePunct w:val="0"/>
        <w:autoSpaceDE/>
        <w:autoSpaceDN/>
        <w:bidi w:val="0"/>
        <w:adjustRightInd/>
        <w:snapToGrid/>
        <w:spacing w:line="360" w:lineRule="auto"/>
        <w:rPr>
          <w:sz w:val="28"/>
          <w:szCs w:val="28"/>
        </w:rPr>
      </w:pPr>
      <w:r>
        <w:rPr>
          <w:sz w:val="28"/>
          <w:szCs w:val="28"/>
        </w:rPr>
        <w:t>由境外设计人提供设计文件，需要境内设计人按照国家标准规范审核并签署确认意见的，按照国际对等原则或者实际发生的工作量，协商确定审核确认费。</w:t>
      </w:r>
    </w:p>
    <w:p>
      <w:pPr>
        <w:pageBreakBefore w:val="0"/>
        <w:numPr>
          <w:ilvl w:val="0"/>
          <w:numId w:val="2"/>
        </w:numPr>
        <w:kinsoku/>
        <w:wordWrap/>
        <w:overflowPunct/>
        <w:topLinePunct w:val="0"/>
        <w:autoSpaceDE/>
        <w:autoSpaceDN/>
        <w:bidi w:val="0"/>
        <w:adjustRightInd/>
        <w:snapToGrid/>
        <w:spacing w:line="360" w:lineRule="auto"/>
        <w:rPr>
          <w:sz w:val="28"/>
          <w:szCs w:val="28"/>
        </w:rPr>
      </w:pPr>
      <w:r>
        <w:rPr>
          <w:sz w:val="28"/>
          <w:szCs w:val="28"/>
        </w:rPr>
        <w:t>设计人提供设计文件的标准份数，初步设计、总体设计分别为10份，施工图设计、施工图预算、竣工图分别为8份。发包人要求增加设计文件份数的，由发包人另行支付印制设计文件工本费。工程设计中需要购买标准设计图的，由发包人支付购图费。</w:t>
      </w:r>
    </w:p>
    <w:p>
      <w:pPr>
        <w:pageBreakBefore w:val="0"/>
        <w:numPr>
          <w:ilvl w:val="0"/>
          <w:numId w:val="2"/>
        </w:numPr>
        <w:kinsoku/>
        <w:wordWrap/>
        <w:overflowPunct/>
        <w:topLinePunct w:val="0"/>
        <w:autoSpaceDE/>
        <w:autoSpaceDN/>
        <w:bidi w:val="0"/>
        <w:adjustRightInd/>
        <w:snapToGrid/>
        <w:spacing w:line="360" w:lineRule="auto"/>
        <w:rPr>
          <w:sz w:val="28"/>
          <w:szCs w:val="28"/>
        </w:rPr>
      </w:pPr>
      <w:r>
        <w:rPr>
          <w:sz w:val="28"/>
          <w:szCs w:val="28"/>
        </w:rPr>
        <w:t> 本收费标准不包括本总则</w:t>
      </w:r>
      <w:r>
        <w:rPr>
          <w:rFonts w:hint="eastAsia"/>
          <w:sz w:val="28"/>
          <w:szCs w:val="28"/>
        </w:rPr>
        <w:t>第（一）条</w:t>
      </w:r>
      <w:r>
        <w:rPr>
          <w:sz w:val="28"/>
          <w:szCs w:val="28"/>
        </w:rPr>
        <w:t>以外的其他服务收费。其他服务收费，国家有收费规定的，按照规定执行；国家没有收费规定的，由发包人</w:t>
      </w:r>
      <w:r>
        <w:rPr>
          <w:rFonts w:hint="eastAsia"/>
          <w:sz w:val="28"/>
          <w:szCs w:val="28"/>
        </w:rPr>
        <w:t>参照《市政工程设计服务人工日法综合成本信息表》执行</w:t>
      </w:r>
      <w:r>
        <w:rPr>
          <w:sz w:val="28"/>
          <w:szCs w:val="28"/>
        </w:rPr>
        <w:t>。</w:t>
      </w:r>
    </w:p>
    <w:p>
      <w:pPr>
        <w:pageBreakBefore w:val="0"/>
        <w:numPr>
          <w:ilvl w:val="0"/>
          <w:numId w:val="1"/>
        </w:numPr>
        <w:kinsoku/>
        <w:wordWrap/>
        <w:overflowPunct/>
        <w:topLinePunct w:val="0"/>
        <w:autoSpaceDE/>
        <w:autoSpaceDN/>
        <w:bidi w:val="0"/>
        <w:adjustRightInd/>
        <w:snapToGrid/>
        <w:spacing w:line="360" w:lineRule="auto"/>
        <w:outlineLvl w:val="0"/>
        <w:rPr>
          <w:b/>
          <w:bCs/>
          <w:sz w:val="28"/>
          <w:szCs w:val="28"/>
        </w:rPr>
      </w:pPr>
      <w:bookmarkStart w:id="12" w:name="_Toc11611"/>
      <w:r>
        <w:rPr>
          <w:rFonts w:hint="eastAsia"/>
          <w:b/>
          <w:bCs/>
          <w:sz w:val="28"/>
          <w:szCs w:val="28"/>
        </w:rPr>
        <w:t>适用范围</w:t>
      </w:r>
      <w:bookmarkEnd w:id="12"/>
    </w:p>
    <w:p>
      <w:pPr>
        <w:pageBreakBefore w:val="0"/>
        <w:kinsoku/>
        <w:wordWrap/>
        <w:overflowPunct/>
        <w:topLinePunct w:val="0"/>
        <w:autoSpaceDE/>
        <w:autoSpaceDN/>
        <w:bidi w:val="0"/>
        <w:adjustRightInd/>
        <w:snapToGrid/>
        <w:spacing w:line="360" w:lineRule="auto"/>
        <w:ind w:firstLine="560" w:firstLineChars="200"/>
        <w:rPr>
          <w:sz w:val="28"/>
          <w:szCs w:val="28"/>
        </w:rPr>
      </w:pPr>
      <w:r>
        <w:rPr>
          <w:rFonts w:hint="eastAsia"/>
          <w:sz w:val="28"/>
          <w:szCs w:val="28"/>
        </w:rPr>
        <w:t>适用于城市道路、立交、桥梁、隧道、公共交通（含轨道交通）、给排水、燃气、热力、</w:t>
      </w:r>
      <w:r>
        <w:rPr>
          <w:rFonts w:hint="eastAsia"/>
          <w:sz w:val="28"/>
          <w:szCs w:val="28"/>
          <w:lang w:eastAsia="zh-CN"/>
        </w:rPr>
        <w:t>环境卫生</w:t>
      </w:r>
      <w:r>
        <w:rPr>
          <w:rFonts w:hint="eastAsia"/>
          <w:sz w:val="28"/>
          <w:szCs w:val="28"/>
        </w:rPr>
        <w:t>。管线综合、综合管廊、路桥照明、电力管道、通信管道工程专项纳入市政工程。</w:t>
      </w:r>
    </w:p>
    <w:p>
      <w:pPr>
        <w:pageBreakBefore w:val="0"/>
        <w:numPr>
          <w:ilvl w:val="0"/>
          <w:numId w:val="1"/>
        </w:numPr>
        <w:kinsoku/>
        <w:wordWrap/>
        <w:overflowPunct/>
        <w:topLinePunct w:val="0"/>
        <w:autoSpaceDE/>
        <w:autoSpaceDN/>
        <w:bidi w:val="0"/>
        <w:adjustRightInd/>
        <w:snapToGrid/>
        <w:spacing w:line="360" w:lineRule="auto"/>
        <w:outlineLvl w:val="0"/>
        <w:rPr>
          <w:b/>
          <w:bCs/>
          <w:sz w:val="28"/>
          <w:szCs w:val="28"/>
        </w:rPr>
      </w:pPr>
      <w:bookmarkStart w:id="13" w:name="_Toc31504"/>
      <w:r>
        <w:rPr>
          <w:rFonts w:hint="eastAsia"/>
          <w:b/>
          <w:bCs/>
          <w:sz w:val="28"/>
          <w:szCs w:val="28"/>
        </w:rPr>
        <w:t>市政工程设计收费基价</w:t>
      </w:r>
      <w:bookmarkEnd w:id="13"/>
    </w:p>
    <w:p>
      <w:pPr>
        <w:pageBreakBefore w:val="0"/>
        <w:numPr>
          <w:ilvl w:val="0"/>
          <w:numId w:val="5"/>
        </w:numPr>
        <w:kinsoku/>
        <w:wordWrap/>
        <w:overflowPunct/>
        <w:topLinePunct w:val="0"/>
        <w:autoSpaceDE/>
        <w:autoSpaceDN/>
        <w:bidi w:val="0"/>
        <w:adjustRightInd/>
        <w:snapToGrid/>
        <w:spacing w:line="360" w:lineRule="auto"/>
        <w:rPr>
          <w:sz w:val="28"/>
          <w:szCs w:val="28"/>
        </w:rPr>
      </w:pPr>
      <w:bookmarkStart w:id="14" w:name="_Toc29508"/>
      <w:r>
        <w:rPr>
          <w:rFonts w:hint="eastAsia"/>
          <w:sz w:val="28"/>
          <w:szCs w:val="28"/>
        </w:rPr>
        <w:t>市政工程设计收费基价</w:t>
      </w:r>
      <w:bookmarkEnd w:id="14"/>
    </w:p>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rPr>
        <w:t>市政工程设计收费基价表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6"/>
        <w:gridCol w:w="3725"/>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blHeader/>
        </w:trPr>
        <w:tc>
          <w:tcPr>
            <w:tcW w:w="1956" w:type="dxa"/>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3725" w:type="dxa"/>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计费额（万元）</w:t>
            </w:r>
          </w:p>
        </w:tc>
        <w:tc>
          <w:tcPr>
            <w:tcW w:w="2841" w:type="dxa"/>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收费基价（万元）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4</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6</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7</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8</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8000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9</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11</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40000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1270.1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12</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60000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1825.8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13</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80000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2361.9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14</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100000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2884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15</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200000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5118.4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16</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400000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9518.2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17</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600000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13682.1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18</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800000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17700.1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19</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1000000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21612.9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56"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w:t>
            </w:r>
          </w:p>
        </w:tc>
        <w:tc>
          <w:tcPr>
            <w:tcW w:w="3725"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2000000</w:t>
            </w:r>
          </w:p>
        </w:tc>
        <w:tc>
          <w:tcPr>
            <w:tcW w:w="2841" w:type="dxa"/>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40191.2</w:t>
            </w:r>
          </w:p>
        </w:tc>
      </w:tr>
    </w:tbl>
    <w:p>
      <w:pPr>
        <w:pageBreakBefore w:val="0"/>
        <w:kinsoku/>
        <w:wordWrap/>
        <w:overflowPunct/>
        <w:topLinePunct w:val="0"/>
        <w:autoSpaceDE/>
        <w:autoSpaceDN/>
        <w:bidi w:val="0"/>
        <w:adjustRightInd/>
        <w:snapToGrid/>
        <w:spacing w:line="360" w:lineRule="auto"/>
        <w:rPr>
          <w:sz w:val="24"/>
        </w:rPr>
      </w:pPr>
      <w:r>
        <w:rPr>
          <w:rFonts w:hint="eastAsia"/>
          <w:sz w:val="24"/>
        </w:rPr>
        <w:t>注：计费额&lt;50万元的，以3.5万元作为收费基价；计费额＞2,000,000 万元的，以计费额乘以 1.75%计算收费基价。</w:t>
      </w:r>
    </w:p>
    <w:p>
      <w:pPr>
        <w:pageBreakBefore w:val="0"/>
        <w:numPr>
          <w:ilvl w:val="0"/>
          <w:numId w:val="5"/>
        </w:numPr>
        <w:kinsoku/>
        <w:wordWrap/>
        <w:overflowPunct/>
        <w:topLinePunct w:val="0"/>
        <w:autoSpaceDE/>
        <w:autoSpaceDN/>
        <w:bidi w:val="0"/>
        <w:adjustRightInd/>
        <w:snapToGrid/>
        <w:spacing w:line="360" w:lineRule="auto"/>
        <w:rPr>
          <w:sz w:val="28"/>
          <w:szCs w:val="28"/>
        </w:rPr>
      </w:pPr>
      <w:r>
        <w:rPr>
          <w:rFonts w:hint="eastAsia"/>
          <w:sz w:val="28"/>
          <w:szCs w:val="28"/>
        </w:rPr>
        <w:t>交通专项收费基价</w:t>
      </w:r>
    </w:p>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rPr>
        <w:t>交通专项收费基价表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1"/>
        <w:gridCol w:w="1786"/>
        <w:gridCol w:w="1702"/>
        <w:gridCol w:w="2270"/>
        <w:gridCol w:w="1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1786" w:type="dxa"/>
            <w:tcBorders>
              <w:top w:val="single" w:color="auto" w:sz="4" w:space="0"/>
              <w:left w:val="single" w:color="auto" w:sz="4" w:space="0"/>
              <w:bottom w:val="single" w:color="auto" w:sz="4" w:space="0"/>
              <w:right w:val="single" w:color="auto" w:sz="4" w:space="0"/>
            </w:tcBorders>
            <w:shd w:val="clear" w:color="auto" w:fill="auto"/>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（建筑）面积</w:t>
            </w:r>
          </w:p>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（万平米）</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综合交通调查（万元）</w:t>
            </w:r>
          </w:p>
        </w:tc>
        <w:tc>
          <w:tcPr>
            <w:tcW w:w="227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交通影响评价报告（万元）</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交通组织设计（万元）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w:t>
            </w:r>
          </w:p>
        </w:tc>
        <w:tc>
          <w:tcPr>
            <w:tcW w:w="227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15</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w:t>
            </w:r>
          </w:p>
        </w:tc>
        <w:tc>
          <w:tcPr>
            <w:tcW w:w="1702" w:type="dxa"/>
            <w:vMerge w:val="restart"/>
            <w:tcBorders>
              <w:top w:val="single" w:color="auto" w:sz="4" w:space="0"/>
              <w:left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w:t>
            </w:r>
          </w:p>
        </w:tc>
        <w:tc>
          <w:tcPr>
            <w:tcW w:w="227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w:t>
            </w:r>
          </w:p>
        </w:tc>
        <w:tc>
          <w:tcPr>
            <w:tcW w:w="1702" w:type="dxa"/>
            <w:vMerge w:val="continue"/>
            <w:tcBorders>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p>
        </w:tc>
        <w:tc>
          <w:tcPr>
            <w:tcW w:w="227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30</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4</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w:t>
            </w:r>
          </w:p>
        </w:tc>
        <w:tc>
          <w:tcPr>
            <w:tcW w:w="1702" w:type="dxa"/>
            <w:vMerge w:val="restart"/>
            <w:tcBorders>
              <w:top w:val="single" w:color="auto" w:sz="4" w:space="0"/>
              <w:left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w:t>
            </w:r>
          </w:p>
        </w:tc>
        <w:tc>
          <w:tcPr>
            <w:tcW w:w="227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40</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50</w:t>
            </w:r>
          </w:p>
        </w:tc>
        <w:tc>
          <w:tcPr>
            <w:tcW w:w="1702" w:type="dxa"/>
            <w:vMerge w:val="continue"/>
            <w:tcBorders>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p>
        </w:tc>
        <w:tc>
          <w:tcPr>
            <w:tcW w:w="227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100</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6</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100</w:t>
            </w:r>
          </w:p>
        </w:tc>
        <w:tc>
          <w:tcPr>
            <w:tcW w:w="1702" w:type="dxa"/>
            <w:vMerge w:val="restart"/>
            <w:tcBorders>
              <w:top w:val="single" w:color="auto" w:sz="4" w:space="0"/>
              <w:left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30</w:t>
            </w:r>
          </w:p>
        </w:tc>
        <w:tc>
          <w:tcPr>
            <w:tcW w:w="227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150</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7</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200</w:t>
            </w:r>
          </w:p>
        </w:tc>
        <w:tc>
          <w:tcPr>
            <w:tcW w:w="1702" w:type="dxa"/>
            <w:vMerge w:val="continue"/>
            <w:tcBorders>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p>
        </w:tc>
        <w:tc>
          <w:tcPr>
            <w:tcW w:w="227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200</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8</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500</w:t>
            </w:r>
          </w:p>
        </w:tc>
        <w:tc>
          <w:tcPr>
            <w:tcW w:w="1702" w:type="dxa"/>
            <w:vMerge w:val="restart"/>
            <w:tcBorders>
              <w:top w:val="single" w:color="auto" w:sz="4" w:space="0"/>
              <w:left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40</w:t>
            </w:r>
          </w:p>
        </w:tc>
        <w:tc>
          <w:tcPr>
            <w:tcW w:w="227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250</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9</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1000</w:t>
            </w:r>
          </w:p>
        </w:tc>
        <w:tc>
          <w:tcPr>
            <w:tcW w:w="1702" w:type="dxa"/>
            <w:vMerge w:val="continue"/>
            <w:tcBorders>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p>
        </w:tc>
        <w:tc>
          <w:tcPr>
            <w:tcW w:w="227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300</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≥2000</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50</w:t>
            </w:r>
          </w:p>
        </w:tc>
        <w:tc>
          <w:tcPr>
            <w:tcW w:w="227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400</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320</w:t>
            </w:r>
          </w:p>
        </w:tc>
      </w:tr>
    </w:tbl>
    <w:p>
      <w:pPr>
        <w:pageBreakBefore w:val="0"/>
        <w:kinsoku/>
        <w:wordWrap/>
        <w:overflowPunct/>
        <w:topLinePunct w:val="0"/>
        <w:autoSpaceDE/>
        <w:autoSpaceDN/>
        <w:bidi w:val="0"/>
        <w:adjustRightInd/>
        <w:snapToGrid/>
        <w:spacing w:line="360" w:lineRule="auto"/>
        <w:rPr>
          <w:sz w:val="24"/>
        </w:rPr>
      </w:pPr>
      <w:r>
        <w:rPr>
          <w:rFonts w:hint="eastAsia"/>
          <w:sz w:val="24"/>
        </w:rPr>
        <w:t>注：按项目建筑面积（指建设项目总建筑面积，包括地上和地下建筑面积）统计，建筑面积处于两个数值区间的，采用直线内插法计算收费基价。</w:t>
      </w:r>
    </w:p>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rPr>
        <w:t>道路交叉口交通设计收费基价表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6"/>
        <w:gridCol w:w="3867"/>
        <w:gridCol w:w="3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6" w:type="dxa"/>
            <w:tcBorders>
              <w:top w:val="single" w:color="auto" w:sz="4" w:space="0"/>
              <w:left w:val="single" w:color="auto" w:sz="4" w:space="0"/>
              <w:bottom w:val="single" w:color="auto" w:sz="4" w:space="0"/>
              <w:right w:val="single" w:color="auto" w:sz="4" w:space="0"/>
            </w:tcBorders>
            <w:shd w:val="clear" w:color="auto" w:fill="auto"/>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3867" w:type="dxa"/>
            <w:tcBorders>
              <w:top w:val="single" w:color="auto" w:sz="4" w:space="0"/>
              <w:left w:val="single" w:color="auto" w:sz="4" w:space="0"/>
              <w:bottom w:val="single" w:color="auto" w:sz="4" w:space="0"/>
              <w:right w:val="single" w:color="auto" w:sz="4" w:space="0"/>
            </w:tcBorders>
            <w:shd w:val="clear" w:color="auto" w:fill="auto"/>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交叉口建设面积</w:t>
            </w:r>
          </w:p>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（平方米）</w:t>
            </w:r>
          </w:p>
        </w:tc>
        <w:tc>
          <w:tcPr>
            <w:tcW w:w="3629" w:type="dxa"/>
            <w:tcBorders>
              <w:top w:val="single" w:color="auto" w:sz="4" w:space="0"/>
              <w:left w:val="single" w:color="auto" w:sz="4" w:space="0"/>
              <w:bottom w:val="single" w:color="auto" w:sz="4" w:space="0"/>
              <w:right w:val="single" w:color="auto" w:sz="4" w:space="0"/>
            </w:tcBorders>
            <w:shd w:val="clear" w:color="auto" w:fill="auto"/>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道路交叉口交通设计收费基价（万元）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w:t>
            </w:r>
          </w:p>
        </w:tc>
        <w:tc>
          <w:tcPr>
            <w:tcW w:w="3867"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≤1000</w:t>
            </w:r>
          </w:p>
        </w:tc>
        <w:tc>
          <w:tcPr>
            <w:tcW w:w="3629"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w:t>
            </w:r>
          </w:p>
        </w:tc>
        <w:tc>
          <w:tcPr>
            <w:tcW w:w="3867"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2000</w:t>
            </w:r>
          </w:p>
        </w:tc>
        <w:tc>
          <w:tcPr>
            <w:tcW w:w="3629"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w:t>
            </w:r>
          </w:p>
        </w:tc>
        <w:tc>
          <w:tcPr>
            <w:tcW w:w="3867"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4000</w:t>
            </w:r>
          </w:p>
        </w:tc>
        <w:tc>
          <w:tcPr>
            <w:tcW w:w="3629"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4</w:t>
            </w:r>
          </w:p>
        </w:tc>
        <w:tc>
          <w:tcPr>
            <w:tcW w:w="3867"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6000</w:t>
            </w:r>
          </w:p>
        </w:tc>
        <w:tc>
          <w:tcPr>
            <w:tcW w:w="3629"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5</w:t>
            </w:r>
          </w:p>
        </w:tc>
        <w:tc>
          <w:tcPr>
            <w:tcW w:w="3867"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8000</w:t>
            </w:r>
          </w:p>
        </w:tc>
        <w:tc>
          <w:tcPr>
            <w:tcW w:w="3629"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6</w:t>
            </w:r>
          </w:p>
        </w:tc>
        <w:tc>
          <w:tcPr>
            <w:tcW w:w="3867"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≥10000</w:t>
            </w:r>
          </w:p>
        </w:tc>
        <w:tc>
          <w:tcPr>
            <w:tcW w:w="3629"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top"/>
              <w:rPr>
                <w:rFonts w:hint="default" w:ascii="宋体" w:hAnsi="宋体" w:eastAsia="宋体" w:cs="宋体"/>
                <w:kern w:val="0"/>
                <w:sz w:val="24"/>
                <w:lang w:bidi="ar"/>
              </w:rPr>
            </w:pPr>
            <w:r>
              <w:rPr>
                <w:rFonts w:hint="eastAsia" w:ascii="宋体" w:hAnsi="宋体" w:eastAsia="宋体" w:cs="宋体"/>
                <w:kern w:val="0"/>
                <w:sz w:val="24"/>
                <w:lang w:bidi="ar"/>
              </w:rPr>
              <w:t>30</w:t>
            </w:r>
          </w:p>
        </w:tc>
      </w:tr>
    </w:tbl>
    <w:p>
      <w:pPr>
        <w:pageBreakBefore w:val="0"/>
        <w:kinsoku/>
        <w:wordWrap/>
        <w:overflowPunct/>
        <w:topLinePunct w:val="0"/>
        <w:autoSpaceDE/>
        <w:autoSpaceDN/>
        <w:bidi w:val="0"/>
        <w:adjustRightInd/>
        <w:snapToGrid/>
        <w:spacing w:line="360" w:lineRule="auto"/>
        <w:rPr>
          <w:sz w:val="24"/>
        </w:rPr>
      </w:pPr>
      <w:r>
        <w:rPr>
          <w:rFonts w:hint="eastAsia"/>
          <w:sz w:val="24"/>
        </w:rPr>
        <w:t>注：交叉口建设面积指新建、改建交叉口范围的道路包络面积。建设面积处于两个数值区间的，采用直线内插法计算收费。建设面积小于1000平方米的按照1000平方米计算。</w:t>
      </w:r>
    </w:p>
    <w:p>
      <w:pPr>
        <w:pageBreakBefore w:val="0"/>
        <w:numPr>
          <w:ilvl w:val="0"/>
          <w:numId w:val="5"/>
        </w:numPr>
        <w:kinsoku/>
        <w:wordWrap/>
        <w:overflowPunct/>
        <w:topLinePunct w:val="0"/>
        <w:autoSpaceDE/>
        <w:autoSpaceDN/>
        <w:bidi w:val="0"/>
        <w:adjustRightInd/>
        <w:snapToGrid/>
        <w:spacing w:line="360" w:lineRule="auto"/>
        <w:rPr>
          <w:sz w:val="28"/>
          <w:szCs w:val="28"/>
        </w:rPr>
      </w:pPr>
      <w:r>
        <w:rPr>
          <w:rFonts w:hint="eastAsia"/>
          <w:sz w:val="28"/>
          <w:szCs w:val="28"/>
        </w:rPr>
        <w:t>管线综合专项收费基价</w:t>
      </w:r>
    </w:p>
    <w:p>
      <w:pPr>
        <w:pageBreakBefore w:val="0"/>
        <w:kinsoku/>
        <w:wordWrap/>
        <w:overflowPunct/>
        <w:topLinePunct w:val="0"/>
        <w:autoSpaceDE/>
        <w:autoSpaceDN/>
        <w:bidi w:val="0"/>
        <w:adjustRightInd/>
        <w:snapToGrid/>
        <w:spacing w:line="360" w:lineRule="auto"/>
        <w:jc w:val="center"/>
        <w:outlineLvl w:val="0"/>
        <w:rPr>
          <w:b/>
          <w:bCs/>
          <w:sz w:val="28"/>
          <w:szCs w:val="28"/>
        </w:rPr>
      </w:pPr>
      <w:bookmarkStart w:id="15" w:name="_Toc13255"/>
      <w:r>
        <w:rPr>
          <w:rFonts w:hint="eastAsia"/>
          <w:b/>
          <w:bCs/>
          <w:sz w:val="28"/>
          <w:szCs w:val="28"/>
        </w:rPr>
        <w:t>管线综合专项设计收费基价表</w:t>
      </w:r>
      <w:bookmarkEnd w:id="15"/>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6"/>
        <w:gridCol w:w="3255"/>
        <w:gridCol w:w="3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blHeader/>
          <w:jc w:val="center"/>
        </w:trPr>
        <w:tc>
          <w:tcPr>
            <w:tcW w:w="1956"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3255"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设计阶段</w:t>
            </w:r>
          </w:p>
        </w:tc>
        <w:tc>
          <w:tcPr>
            <w:tcW w:w="3311"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收费基价（万元/（根·公里））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956" w:type="dxa"/>
            <w:vAlign w:val="center"/>
          </w:tcPr>
          <w:p>
            <w:pPr>
              <w:pageBreakBefore w:val="0"/>
              <w:kinsoku/>
              <w:wordWrap/>
              <w:overflowPunct/>
              <w:topLinePunct w:val="0"/>
              <w:autoSpaceDE/>
              <w:autoSpaceDN/>
              <w:bidi w:val="0"/>
              <w:adjustRightInd/>
              <w:snapToGrid/>
              <w:spacing w:line="360" w:lineRule="auto"/>
              <w:jc w:val="center"/>
              <w:rPr>
                <w:rFonts w:hint="default"/>
                <w:b w:val="0"/>
                <w:bCs w:val="0"/>
                <w:sz w:val="24"/>
              </w:rPr>
            </w:pPr>
            <w:r>
              <w:rPr>
                <w:rFonts w:hint="eastAsia"/>
                <w:b w:val="0"/>
                <w:bCs w:val="0"/>
                <w:sz w:val="24"/>
              </w:rPr>
              <w:t>1</w:t>
            </w:r>
          </w:p>
        </w:tc>
        <w:tc>
          <w:tcPr>
            <w:tcW w:w="3255" w:type="dxa"/>
            <w:vAlign w:val="center"/>
          </w:tcPr>
          <w:p>
            <w:pPr>
              <w:pageBreakBefore w:val="0"/>
              <w:kinsoku/>
              <w:wordWrap/>
              <w:overflowPunct/>
              <w:topLinePunct w:val="0"/>
              <w:autoSpaceDE/>
              <w:autoSpaceDN/>
              <w:bidi w:val="0"/>
              <w:adjustRightInd/>
              <w:snapToGrid/>
              <w:spacing w:line="360" w:lineRule="auto"/>
              <w:jc w:val="center"/>
              <w:rPr>
                <w:rFonts w:hint="default"/>
                <w:b w:val="0"/>
                <w:bCs w:val="0"/>
                <w:sz w:val="24"/>
              </w:rPr>
            </w:pPr>
            <w:r>
              <w:rPr>
                <w:rFonts w:hint="eastAsia"/>
                <w:b w:val="0"/>
                <w:bCs w:val="0"/>
                <w:sz w:val="24"/>
              </w:rPr>
              <w:t>规划或方案</w:t>
            </w:r>
          </w:p>
        </w:tc>
        <w:tc>
          <w:tcPr>
            <w:tcW w:w="3311" w:type="dxa"/>
            <w:vAlign w:val="center"/>
          </w:tcPr>
          <w:p>
            <w:pPr>
              <w:pageBreakBefore w:val="0"/>
              <w:kinsoku/>
              <w:wordWrap/>
              <w:overflowPunct/>
              <w:topLinePunct w:val="0"/>
              <w:autoSpaceDE/>
              <w:autoSpaceDN/>
              <w:bidi w:val="0"/>
              <w:adjustRightInd/>
              <w:snapToGrid/>
              <w:spacing w:line="360" w:lineRule="auto"/>
              <w:jc w:val="center"/>
              <w:rPr>
                <w:rFonts w:hint="default"/>
                <w:b w:val="0"/>
                <w:bCs w:val="0"/>
                <w:sz w:val="24"/>
              </w:rPr>
            </w:pPr>
            <w:r>
              <w:rPr>
                <w:rFonts w:hint="eastAsia"/>
                <w:b w:val="0"/>
                <w:bCs w:val="0"/>
                <w:sz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956" w:type="dxa"/>
            <w:vAlign w:val="center"/>
          </w:tcPr>
          <w:p>
            <w:pPr>
              <w:pageBreakBefore w:val="0"/>
              <w:kinsoku/>
              <w:wordWrap/>
              <w:overflowPunct/>
              <w:topLinePunct w:val="0"/>
              <w:autoSpaceDE/>
              <w:autoSpaceDN/>
              <w:bidi w:val="0"/>
              <w:adjustRightInd/>
              <w:snapToGrid/>
              <w:spacing w:line="360" w:lineRule="auto"/>
              <w:jc w:val="center"/>
              <w:rPr>
                <w:rFonts w:hint="default"/>
                <w:b w:val="0"/>
                <w:bCs w:val="0"/>
                <w:sz w:val="24"/>
              </w:rPr>
            </w:pPr>
            <w:r>
              <w:rPr>
                <w:rFonts w:hint="eastAsia"/>
                <w:b w:val="0"/>
                <w:bCs w:val="0"/>
                <w:sz w:val="24"/>
              </w:rPr>
              <w:t>2</w:t>
            </w:r>
          </w:p>
        </w:tc>
        <w:tc>
          <w:tcPr>
            <w:tcW w:w="3255" w:type="dxa"/>
            <w:vAlign w:val="center"/>
          </w:tcPr>
          <w:p>
            <w:pPr>
              <w:pageBreakBefore w:val="0"/>
              <w:kinsoku/>
              <w:wordWrap/>
              <w:overflowPunct/>
              <w:topLinePunct w:val="0"/>
              <w:autoSpaceDE/>
              <w:autoSpaceDN/>
              <w:bidi w:val="0"/>
              <w:adjustRightInd/>
              <w:snapToGrid/>
              <w:spacing w:line="360" w:lineRule="auto"/>
              <w:jc w:val="center"/>
              <w:rPr>
                <w:rFonts w:hint="default"/>
                <w:b w:val="0"/>
                <w:bCs w:val="0"/>
                <w:sz w:val="24"/>
              </w:rPr>
            </w:pPr>
            <w:r>
              <w:rPr>
                <w:rFonts w:hint="eastAsia"/>
                <w:b w:val="0"/>
                <w:bCs w:val="0"/>
                <w:sz w:val="24"/>
              </w:rPr>
              <w:t>施工图设计</w:t>
            </w:r>
          </w:p>
        </w:tc>
        <w:tc>
          <w:tcPr>
            <w:tcW w:w="3311" w:type="dxa"/>
            <w:vAlign w:val="center"/>
          </w:tcPr>
          <w:p>
            <w:pPr>
              <w:pageBreakBefore w:val="0"/>
              <w:kinsoku/>
              <w:wordWrap/>
              <w:overflowPunct/>
              <w:topLinePunct w:val="0"/>
              <w:autoSpaceDE/>
              <w:autoSpaceDN/>
              <w:bidi w:val="0"/>
              <w:adjustRightInd/>
              <w:snapToGrid/>
              <w:spacing w:line="360" w:lineRule="auto"/>
              <w:jc w:val="center"/>
              <w:rPr>
                <w:rFonts w:hint="default"/>
                <w:b w:val="0"/>
                <w:bCs w:val="0"/>
                <w:sz w:val="24"/>
              </w:rPr>
            </w:pPr>
            <w:r>
              <w:rPr>
                <w:rFonts w:hint="eastAsia"/>
                <w:b w:val="0"/>
                <w:bCs w:val="0"/>
                <w:sz w:val="24"/>
              </w:rPr>
              <w:t>1.0</w:t>
            </w:r>
          </w:p>
        </w:tc>
      </w:tr>
    </w:tbl>
    <w:p>
      <w:pPr>
        <w:pageBreakBefore w:val="0"/>
        <w:kinsoku/>
        <w:wordWrap/>
        <w:overflowPunct/>
        <w:topLinePunct w:val="0"/>
        <w:autoSpaceDE/>
        <w:autoSpaceDN/>
        <w:bidi w:val="0"/>
        <w:adjustRightInd/>
        <w:snapToGrid/>
        <w:spacing w:line="360" w:lineRule="auto"/>
        <w:rPr>
          <w:sz w:val="24"/>
        </w:rPr>
      </w:pPr>
      <w:r>
        <w:rPr>
          <w:rFonts w:hint="eastAsia"/>
          <w:sz w:val="24"/>
        </w:rPr>
        <w:t>注：单项委托管线综合专项计算收费基价低于5万元时按5万元计取。</w:t>
      </w:r>
    </w:p>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rPr>
        <w:t>管线综合附加系数表</w:t>
      </w:r>
    </w:p>
    <w:tbl>
      <w:tblPr>
        <w:tblStyle w:val="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01"/>
        <w:gridCol w:w="3969"/>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blHeader/>
          <w:jc w:val="center"/>
        </w:trPr>
        <w:tc>
          <w:tcPr>
            <w:tcW w:w="1701" w:type="dxa"/>
          </w:tcPr>
          <w:p>
            <w:pPr>
              <w:pStyle w:val="14"/>
              <w:pageBreakBefore w:val="0"/>
              <w:kinsoku/>
              <w:wordWrap/>
              <w:overflowPunct/>
              <w:topLinePunct w:val="0"/>
              <w:autoSpaceDE/>
              <w:autoSpaceDN/>
              <w:bidi w:val="0"/>
              <w:adjustRightInd/>
              <w:snapToGrid/>
              <w:spacing w:before="81" w:line="360" w:lineRule="auto"/>
              <w:ind w:left="587" w:right="580"/>
              <w:jc w:val="center"/>
              <w:rPr>
                <w:rFonts w:asciiTheme="minorHAnsi" w:hAnsiTheme="minorHAnsi" w:eastAsiaTheme="minorEastAsia" w:cstheme="minorBidi"/>
                <w:b/>
                <w:bCs/>
                <w:sz w:val="24"/>
                <w:lang w:val="en-US" w:bidi="ar-SA"/>
              </w:rPr>
            </w:pPr>
            <w:r>
              <w:rPr>
                <w:rFonts w:hint="eastAsia" w:asciiTheme="minorHAnsi" w:hAnsiTheme="minorHAnsi" w:eastAsiaTheme="minorEastAsia" w:cstheme="minorBidi"/>
                <w:b/>
                <w:bCs/>
                <w:sz w:val="24"/>
                <w:lang w:val="en-US" w:bidi="ar-SA"/>
              </w:rPr>
              <w:t>序号</w:t>
            </w:r>
          </w:p>
        </w:tc>
        <w:tc>
          <w:tcPr>
            <w:tcW w:w="3969" w:type="dxa"/>
          </w:tcPr>
          <w:p>
            <w:pPr>
              <w:pStyle w:val="14"/>
              <w:pageBreakBefore w:val="0"/>
              <w:kinsoku/>
              <w:wordWrap/>
              <w:overflowPunct/>
              <w:topLinePunct w:val="0"/>
              <w:autoSpaceDE/>
              <w:autoSpaceDN/>
              <w:bidi w:val="0"/>
              <w:adjustRightInd/>
              <w:snapToGrid/>
              <w:spacing w:before="81" w:line="360" w:lineRule="auto"/>
              <w:ind w:left="223" w:right="212"/>
              <w:jc w:val="center"/>
              <w:rPr>
                <w:rFonts w:asciiTheme="minorHAnsi" w:hAnsiTheme="minorHAnsi" w:eastAsiaTheme="minorEastAsia" w:cstheme="minorBidi"/>
                <w:b/>
                <w:bCs/>
                <w:sz w:val="24"/>
                <w:lang w:val="en-US" w:bidi="ar-SA"/>
              </w:rPr>
            </w:pPr>
            <w:r>
              <w:rPr>
                <w:rFonts w:hint="eastAsia" w:asciiTheme="minorHAnsi" w:hAnsiTheme="minorHAnsi" w:eastAsiaTheme="minorEastAsia" w:cstheme="minorBidi"/>
                <w:b/>
                <w:bCs/>
                <w:sz w:val="24"/>
                <w:lang w:val="en-US" w:bidi="ar-SA"/>
              </w:rPr>
              <w:t>工程设计条件</w:t>
            </w:r>
          </w:p>
        </w:tc>
        <w:tc>
          <w:tcPr>
            <w:tcW w:w="3118" w:type="dxa"/>
          </w:tcPr>
          <w:p>
            <w:pPr>
              <w:pStyle w:val="14"/>
              <w:pageBreakBefore w:val="0"/>
              <w:kinsoku/>
              <w:wordWrap/>
              <w:overflowPunct/>
              <w:topLinePunct w:val="0"/>
              <w:autoSpaceDE/>
              <w:autoSpaceDN/>
              <w:bidi w:val="0"/>
              <w:adjustRightInd/>
              <w:snapToGrid/>
              <w:spacing w:before="81" w:line="360" w:lineRule="auto"/>
              <w:ind w:left="1057" w:right="1046"/>
              <w:jc w:val="center"/>
              <w:rPr>
                <w:rFonts w:asciiTheme="minorHAnsi" w:hAnsiTheme="minorHAnsi" w:eastAsiaTheme="minorEastAsia" w:cstheme="minorBidi"/>
                <w:b/>
                <w:bCs/>
                <w:sz w:val="24"/>
                <w:lang w:val="en-US" w:bidi="ar-SA"/>
              </w:rPr>
            </w:pPr>
            <w:r>
              <w:rPr>
                <w:rFonts w:hint="eastAsia" w:asciiTheme="minorHAnsi" w:hAnsiTheme="minorHAnsi" w:eastAsiaTheme="minorEastAsia" w:cstheme="minorBidi"/>
                <w:b/>
                <w:bCs/>
                <w:sz w:val="24"/>
                <w:lang w:val="en-US" w:bidi="ar-SA"/>
              </w:rPr>
              <w:t>附加系数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1701" w:type="dxa"/>
          </w:tcPr>
          <w:p>
            <w:pPr>
              <w:pStyle w:val="14"/>
              <w:pageBreakBefore w:val="0"/>
              <w:kinsoku/>
              <w:wordWrap/>
              <w:overflowPunct/>
              <w:topLinePunct w:val="0"/>
              <w:autoSpaceDE/>
              <w:autoSpaceDN/>
              <w:bidi w:val="0"/>
              <w:adjustRightInd/>
              <w:snapToGrid/>
              <w:spacing w:before="80" w:line="360" w:lineRule="auto"/>
              <w:ind w:left="7"/>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1</w:t>
            </w:r>
          </w:p>
        </w:tc>
        <w:tc>
          <w:tcPr>
            <w:tcW w:w="3969" w:type="dxa"/>
          </w:tcPr>
          <w:p>
            <w:pPr>
              <w:pStyle w:val="14"/>
              <w:pageBreakBefore w:val="0"/>
              <w:kinsoku/>
              <w:wordWrap/>
              <w:overflowPunct/>
              <w:topLinePunct w:val="0"/>
              <w:autoSpaceDE/>
              <w:autoSpaceDN/>
              <w:bidi w:val="0"/>
              <w:adjustRightInd/>
              <w:snapToGrid/>
              <w:spacing w:before="80" w:line="360" w:lineRule="auto"/>
              <w:ind w:left="223" w:right="215"/>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管线累计＞7 根</w:t>
            </w:r>
          </w:p>
        </w:tc>
        <w:tc>
          <w:tcPr>
            <w:tcW w:w="3118" w:type="dxa"/>
          </w:tcPr>
          <w:p>
            <w:pPr>
              <w:pStyle w:val="14"/>
              <w:pageBreakBefore w:val="0"/>
              <w:kinsoku/>
              <w:wordWrap/>
              <w:overflowPunct/>
              <w:topLinePunct w:val="0"/>
              <w:autoSpaceDE/>
              <w:autoSpaceDN/>
              <w:bidi w:val="0"/>
              <w:adjustRightInd/>
              <w:snapToGrid/>
              <w:spacing w:before="80" w:line="360" w:lineRule="auto"/>
              <w:ind w:left="1055" w:right="1046"/>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1701" w:type="dxa"/>
          </w:tcPr>
          <w:p>
            <w:pPr>
              <w:pStyle w:val="14"/>
              <w:pageBreakBefore w:val="0"/>
              <w:kinsoku/>
              <w:wordWrap/>
              <w:overflowPunct/>
              <w:topLinePunct w:val="0"/>
              <w:autoSpaceDE/>
              <w:autoSpaceDN/>
              <w:bidi w:val="0"/>
              <w:adjustRightInd/>
              <w:snapToGrid/>
              <w:spacing w:before="80" w:line="360" w:lineRule="auto"/>
              <w:ind w:left="7"/>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w:t>
            </w:r>
          </w:p>
        </w:tc>
        <w:tc>
          <w:tcPr>
            <w:tcW w:w="3969" w:type="dxa"/>
          </w:tcPr>
          <w:p>
            <w:pPr>
              <w:pStyle w:val="14"/>
              <w:pageBreakBefore w:val="0"/>
              <w:kinsoku/>
              <w:wordWrap/>
              <w:overflowPunct/>
              <w:topLinePunct w:val="0"/>
              <w:autoSpaceDE/>
              <w:autoSpaceDN/>
              <w:bidi w:val="0"/>
              <w:adjustRightInd/>
              <w:snapToGrid/>
              <w:spacing w:before="80" w:line="360" w:lineRule="auto"/>
              <w:ind w:left="221" w:right="215"/>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改造道路管线综合</w:t>
            </w:r>
          </w:p>
        </w:tc>
        <w:tc>
          <w:tcPr>
            <w:tcW w:w="3118" w:type="dxa"/>
          </w:tcPr>
          <w:p>
            <w:pPr>
              <w:pStyle w:val="14"/>
              <w:pageBreakBefore w:val="0"/>
              <w:kinsoku/>
              <w:wordWrap/>
              <w:overflowPunct/>
              <w:topLinePunct w:val="0"/>
              <w:autoSpaceDE/>
              <w:autoSpaceDN/>
              <w:bidi w:val="0"/>
              <w:adjustRightInd/>
              <w:snapToGrid/>
              <w:spacing w:before="80" w:line="360" w:lineRule="auto"/>
              <w:ind w:left="1055" w:right="1046"/>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1701" w:type="dxa"/>
          </w:tcPr>
          <w:p>
            <w:pPr>
              <w:pStyle w:val="14"/>
              <w:pageBreakBefore w:val="0"/>
              <w:kinsoku/>
              <w:wordWrap/>
              <w:overflowPunct/>
              <w:topLinePunct w:val="0"/>
              <w:autoSpaceDE/>
              <w:autoSpaceDN/>
              <w:bidi w:val="0"/>
              <w:adjustRightInd/>
              <w:snapToGrid/>
              <w:spacing w:before="82" w:line="360" w:lineRule="auto"/>
              <w:ind w:left="7"/>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3</w:t>
            </w:r>
          </w:p>
        </w:tc>
        <w:tc>
          <w:tcPr>
            <w:tcW w:w="3969" w:type="dxa"/>
          </w:tcPr>
          <w:p>
            <w:pPr>
              <w:pStyle w:val="14"/>
              <w:pageBreakBefore w:val="0"/>
              <w:kinsoku/>
              <w:wordWrap/>
              <w:overflowPunct/>
              <w:topLinePunct w:val="0"/>
              <w:autoSpaceDE/>
              <w:autoSpaceDN/>
              <w:bidi w:val="0"/>
              <w:adjustRightInd/>
              <w:snapToGrid/>
              <w:spacing w:before="82" w:line="360" w:lineRule="auto"/>
              <w:ind w:left="223" w:right="215"/>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管线交叉平均每公里累计＞15 次</w:t>
            </w:r>
          </w:p>
        </w:tc>
        <w:tc>
          <w:tcPr>
            <w:tcW w:w="3118" w:type="dxa"/>
          </w:tcPr>
          <w:p>
            <w:pPr>
              <w:pStyle w:val="14"/>
              <w:pageBreakBefore w:val="0"/>
              <w:kinsoku/>
              <w:wordWrap/>
              <w:overflowPunct/>
              <w:topLinePunct w:val="0"/>
              <w:autoSpaceDE/>
              <w:autoSpaceDN/>
              <w:bidi w:val="0"/>
              <w:adjustRightInd/>
              <w:snapToGrid/>
              <w:spacing w:before="82" w:line="360" w:lineRule="auto"/>
              <w:ind w:left="1055" w:right="1046"/>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1701" w:type="dxa"/>
          </w:tcPr>
          <w:p>
            <w:pPr>
              <w:pStyle w:val="14"/>
              <w:pageBreakBefore w:val="0"/>
              <w:kinsoku/>
              <w:wordWrap/>
              <w:overflowPunct/>
              <w:topLinePunct w:val="0"/>
              <w:autoSpaceDE/>
              <w:autoSpaceDN/>
              <w:bidi w:val="0"/>
              <w:adjustRightInd/>
              <w:snapToGrid/>
              <w:spacing w:before="81" w:line="360" w:lineRule="auto"/>
              <w:ind w:left="7"/>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4</w:t>
            </w:r>
          </w:p>
        </w:tc>
        <w:tc>
          <w:tcPr>
            <w:tcW w:w="3969" w:type="dxa"/>
          </w:tcPr>
          <w:p>
            <w:pPr>
              <w:pStyle w:val="14"/>
              <w:pageBreakBefore w:val="0"/>
              <w:kinsoku/>
              <w:wordWrap/>
              <w:overflowPunct/>
              <w:topLinePunct w:val="0"/>
              <w:autoSpaceDE/>
              <w:autoSpaceDN/>
              <w:bidi w:val="0"/>
              <w:adjustRightInd/>
              <w:snapToGrid/>
              <w:spacing w:before="81" w:line="360" w:lineRule="auto"/>
              <w:ind w:left="223" w:right="215"/>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道路路口平均间距＜300 米</w:t>
            </w:r>
          </w:p>
        </w:tc>
        <w:tc>
          <w:tcPr>
            <w:tcW w:w="3118" w:type="dxa"/>
          </w:tcPr>
          <w:p>
            <w:pPr>
              <w:pStyle w:val="14"/>
              <w:pageBreakBefore w:val="0"/>
              <w:kinsoku/>
              <w:wordWrap/>
              <w:overflowPunct/>
              <w:topLinePunct w:val="0"/>
              <w:autoSpaceDE/>
              <w:autoSpaceDN/>
              <w:bidi w:val="0"/>
              <w:adjustRightInd/>
              <w:snapToGrid/>
              <w:spacing w:before="81" w:line="360" w:lineRule="auto"/>
              <w:ind w:left="1055" w:right="1046"/>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1.2</w:t>
            </w:r>
          </w:p>
        </w:tc>
      </w:tr>
    </w:tbl>
    <w:p>
      <w:pPr>
        <w:pageBreakBefore w:val="0"/>
        <w:kinsoku/>
        <w:wordWrap/>
        <w:overflowPunct/>
        <w:topLinePunct w:val="0"/>
        <w:autoSpaceDE/>
        <w:autoSpaceDN/>
        <w:bidi w:val="0"/>
        <w:adjustRightInd/>
        <w:snapToGrid/>
        <w:spacing w:line="360" w:lineRule="auto"/>
        <w:rPr>
          <w:sz w:val="24"/>
        </w:rPr>
      </w:pPr>
      <w:r>
        <w:rPr>
          <w:rFonts w:hint="eastAsia"/>
          <w:sz w:val="24"/>
        </w:rPr>
        <w:t>注：附加系数根据具体情况可累积</w:t>
      </w:r>
    </w:p>
    <w:p>
      <w:pPr>
        <w:pageBreakBefore w:val="0"/>
        <w:numPr>
          <w:ilvl w:val="0"/>
          <w:numId w:val="1"/>
        </w:numPr>
        <w:kinsoku/>
        <w:wordWrap/>
        <w:overflowPunct/>
        <w:topLinePunct w:val="0"/>
        <w:autoSpaceDE/>
        <w:autoSpaceDN/>
        <w:bidi w:val="0"/>
        <w:adjustRightInd/>
        <w:snapToGrid/>
        <w:spacing w:line="360" w:lineRule="auto"/>
        <w:outlineLvl w:val="0"/>
        <w:rPr>
          <w:b/>
          <w:bCs/>
          <w:sz w:val="28"/>
          <w:szCs w:val="28"/>
        </w:rPr>
      </w:pPr>
      <w:bookmarkStart w:id="16" w:name="_Toc4367"/>
      <w:r>
        <w:rPr>
          <w:rFonts w:hint="eastAsia"/>
          <w:b/>
          <w:bCs/>
          <w:sz w:val="28"/>
          <w:szCs w:val="28"/>
        </w:rPr>
        <w:t>市政工程设计专业调整系数</w:t>
      </w:r>
      <w:bookmarkEnd w:id="16"/>
    </w:p>
    <w:p>
      <w:pPr>
        <w:pageBreakBefore w:val="0"/>
        <w:kinsoku/>
        <w:wordWrap/>
        <w:overflowPunct/>
        <w:topLinePunct w:val="0"/>
        <w:autoSpaceDE/>
        <w:autoSpaceDN/>
        <w:bidi w:val="0"/>
        <w:adjustRightInd/>
        <w:snapToGrid/>
        <w:spacing w:line="360" w:lineRule="auto"/>
        <w:jc w:val="center"/>
        <w:rPr>
          <w:b/>
          <w:bCs/>
          <w:sz w:val="28"/>
          <w:szCs w:val="28"/>
        </w:rPr>
      </w:pPr>
      <w:bookmarkStart w:id="17" w:name="_Toc8995"/>
      <w:r>
        <w:rPr>
          <w:rFonts w:hint="eastAsia"/>
          <w:b/>
          <w:bCs/>
          <w:sz w:val="28"/>
          <w:szCs w:val="28"/>
        </w:rPr>
        <w:t>市政工程设计专业调整系数</w:t>
      </w:r>
      <w:bookmarkEnd w:id="17"/>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932"/>
        <w:gridCol w:w="2806"/>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blHeader/>
        </w:trPr>
        <w:tc>
          <w:tcPr>
            <w:tcW w:w="1943"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3738" w:type="dxa"/>
            <w:gridSpan w:val="2"/>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工程类型</w:t>
            </w:r>
          </w:p>
        </w:tc>
        <w:tc>
          <w:tcPr>
            <w:tcW w:w="2841"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专业调整系数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943" w:type="dxa"/>
            <w:vMerge w:val="restart"/>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c>
          <w:tcPr>
            <w:tcW w:w="932" w:type="dxa"/>
            <w:vMerge w:val="restart"/>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道路交通工程</w:t>
            </w:r>
          </w:p>
        </w:tc>
        <w:tc>
          <w:tcPr>
            <w:tcW w:w="2806"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城市道路工程</w:t>
            </w:r>
          </w:p>
        </w:tc>
        <w:tc>
          <w:tcPr>
            <w:tcW w:w="284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943"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932"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2806"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桥梁隧道工程</w:t>
            </w:r>
          </w:p>
        </w:tc>
        <w:tc>
          <w:tcPr>
            <w:tcW w:w="284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943"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932"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2806"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公共交通工程</w:t>
            </w:r>
          </w:p>
        </w:tc>
        <w:tc>
          <w:tcPr>
            <w:tcW w:w="284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94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w:t>
            </w:r>
          </w:p>
        </w:tc>
        <w:tc>
          <w:tcPr>
            <w:tcW w:w="3738" w:type="dxa"/>
            <w:gridSpan w:val="2"/>
            <w:vAlign w:val="center"/>
          </w:tcPr>
          <w:p>
            <w:pPr>
              <w:pageBreakBefore w:val="0"/>
              <w:kinsoku/>
              <w:wordWrap/>
              <w:overflowPunct/>
              <w:topLinePunct w:val="0"/>
              <w:autoSpaceDE/>
              <w:autoSpaceDN/>
              <w:bidi w:val="0"/>
              <w:adjustRightInd/>
              <w:snapToGrid/>
              <w:spacing w:line="360" w:lineRule="auto"/>
              <w:jc w:val="center"/>
              <w:rPr>
                <w:rFonts w:hint="eastAsia" w:eastAsiaTheme="minorEastAsia"/>
                <w:sz w:val="24"/>
                <w:lang w:eastAsia="zh-CN"/>
              </w:rPr>
            </w:pPr>
            <w:r>
              <w:rPr>
                <w:rFonts w:hint="eastAsia"/>
                <w:sz w:val="24"/>
              </w:rPr>
              <w:t>给排水、</w:t>
            </w:r>
            <w:r>
              <w:rPr>
                <w:rFonts w:hint="eastAsia"/>
                <w:sz w:val="24"/>
                <w:lang w:eastAsia="zh-CN"/>
              </w:rPr>
              <w:t>环境卫生</w:t>
            </w:r>
          </w:p>
        </w:tc>
        <w:tc>
          <w:tcPr>
            <w:tcW w:w="284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943" w:type="dxa"/>
            <w:vMerge w:val="restart"/>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w:t>
            </w:r>
          </w:p>
        </w:tc>
        <w:tc>
          <w:tcPr>
            <w:tcW w:w="932" w:type="dxa"/>
            <w:vMerge w:val="restart"/>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燃气热力工程</w:t>
            </w:r>
          </w:p>
        </w:tc>
        <w:tc>
          <w:tcPr>
            <w:tcW w:w="2806"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燃气工程</w:t>
            </w:r>
          </w:p>
        </w:tc>
        <w:tc>
          <w:tcPr>
            <w:tcW w:w="284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943"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932"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2806"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热力工程</w:t>
            </w:r>
          </w:p>
        </w:tc>
        <w:tc>
          <w:tcPr>
            <w:tcW w:w="284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94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4</w:t>
            </w:r>
          </w:p>
        </w:tc>
        <w:tc>
          <w:tcPr>
            <w:tcW w:w="3738" w:type="dxa"/>
            <w:gridSpan w:val="2"/>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城市轨道交通工程</w:t>
            </w:r>
          </w:p>
        </w:tc>
        <w:tc>
          <w:tcPr>
            <w:tcW w:w="284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94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5</w:t>
            </w:r>
          </w:p>
        </w:tc>
        <w:tc>
          <w:tcPr>
            <w:tcW w:w="3738" w:type="dxa"/>
            <w:gridSpan w:val="2"/>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综合管廊工程</w:t>
            </w:r>
          </w:p>
        </w:tc>
        <w:tc>
          <w:tcPr>
            <w:tcW w:w="284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bl>
    <w:p>
      <w:pPr>
        <w:pageBreakBefore w:val="0"/>
        <w:numPr>
          <w:ilvl w:val="0"/>
          <w:numId w:val="1"/>
        </w:numPr>
        <w:kinsoku/>
        <w:wordWrap/>
        <w:overflowPunct/>
        <w:topLinePunct w:val="0"/>
        <w:autoSpaceDE/>
        <w:autoSpaceDN/>
        <w:bidi w:val="0"/>
        <w:adjustRightInd/>
        <w:snapToGrid/>
        <w:spacing w:line="360" w:lineRule="auto"/>
        <w:outlineLvl w:val="0"/>
        <w:rPr>
          <w:b/>
          <w:bCs/>
          <w:sz w:val="28"/>
          <w:szCs w:val="28"/>
        </w:rPr>
      </w:pPr>
      <w:bookmarkStart w:id="18" w:name="_Toc23586"/>
      <w:r>
        <w:rPr>
          <w:rFonts w:hint="eastAsia"/>
          <w:b/>
          <w:bCs/>
          <w:sz w:val="28"/>
          <w:szCs w:val="28"/>
        </w:rPr>
        <w:t>市政工程设计复杂程度影响系数</w:t>
      </w:r>
      <w:bookmarkEnd w:id="18"/>
    </w:p>
    <w:p>
      <w:pPr>
        <w:pageBreakBefore w:val="0"/>
        <w:kinsoku/>
        <w:wordWrap/>
        <w:overflowPunct/>
        <w:topLinePunct w:val="0"/>
        <w:autoSpaceDE/>
        <w:autoSpaceDN/>
        <w:bidi w:val="0"/>
        <w:adjustRightInd/>
        <w:snapToGrid/>
        <w:spacing w:line="360" w:lineRule="auto"/>
        <w:ind w:firstLine="560" w:firstLineChars="200"/>
        <w:rPr>
          <w:sz w:val="28"/>
          <w:szCs w:val="28"/>
        </w:rPr>
      </w:pPr>
      <w:r>
        <w:rPr>
          <w:rFonts w:hint="eastAsia"/>
          <w:sz w:val="28"/>
          <w:szCs w:val="28"/>
        </w:rPr>
        <w:t>城市道路、立交、桥梁、隧道、公共交通（含轨道交通）、给排水、管线综合、综合管廊、燃气、热力、环境</w:t>
      </w:r>
      <w:r>
        <w:rPr>
          <w:rFonts w:hint="eastAsia"/>
          <w:sz w:val="28"/>
          <w:szCs w:val="28"/>
          <w:lang w:eastAsia="zh-CN"/>
        </w:rPr>
        <w:t>复</w:t>
      </w:r>
      <w:r>
        <w:rPr>
          <w:rFonts w:hint="eastAsia"/>
          <w:sz w:val="28"/>
          <w:szCs w:val="28"/>
        </w:rPr>
        <w:t>杂程度信息表如下：</w:t>
      </w:r>
    </w:p>
    <w:p>
      <w:pPr>
        <w:pageBreakBefore w:val="0"/>
        <w:kinsoku/>
        <w:wordWrap/>
        <w:overflowPunct/>
        <w:topLinePunct w:val="0"/>
        <w:autoSpaceDE/>
        <w:autoSpaceDN/>
        <w:bidi w:val="0"/>
        <w:adjustRightInd/>
        <w:snapToGrid/>
        <w:spacing w:line="360" w:lineRule="auto"/>
        <w:ind w:firstLine="562" w:firstLineChars="200"/>
        <w:jc w:val="center"/>
        <w:rPr>
          <w:b/>
          <w:bCs/>
          <w:sz w:val="28"/>
          <w:szCs w:val="28"/>
        </w:rPr>
      </w:pPr>
      <w:bookmarkStart w:id="19" w:name="_Toc6738"/>
      <w:r>
        <w:rPr>
          <w:rFonts w:hint="eastAsia"/>
          <w:b/>
          <w:bCs/>
          <w:sz w:val="28"/>
          <w:szCs w:val="28"/>
        </w:rPr>
        <w:t>城市道路工程复杂程度</w:t>
      </w:r>
      <w:bookmarkEnd w:id="19"/>
      <w:r>
        <w:rPr>
          <w:rFonts w:hint="eastAsia"/>
          <w:b/>
          <w:bCs/>
          <w:sz w:val="28"/>
          <w:szCs w:val="28"/>
        </w:rPr>
        <w:t>影响系数表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5479"/>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blHeader/>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复杂程度</w:t>
            </w:r>
          </w:p>
        </w:tc>
        <w:tc>
          <w:tcPr>
            <w:tcW w:w="547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调整系数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Ⅰ级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街区及场区内部道路等</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Ⅱ级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支路、次干路工程及附属工程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Ⅲ级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城市快速路工程、城市主干路、广场工程、停车场工程及附属工程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Ⅳ级</w:t>
            </w:r>
          </w:p>
        </w:tc>
        <w:tc>
          <w:tcPr>
            <w:tcW w:w="5479" w:type="dxa"/>
            <w:vAlign w:val="center"/>
          </w:tcPr>
          <w:p>
            <w:pPr>
              <w:pageBreakBefore w:val="0"/>
              <w:numPr>
                <w:ilvl w:val="0"/>
                <w:numId w:val="6"/>
              </w:numPr>
              <w:kinsoku/>
              <w:wordWrap/>
              <w:overflowPunct/>
              <w:topLinePunct w:val="0"/>
              <w:autoSpaceDE/>
              <w:autoSpaceDN/>
              <w:bidi w:val="0"/>
              <w:adjustRightInd/>
              <w:snapToGrid/>
              <w:spacing w:line="360" w:lineRule="auto"/>
              <w:jc w:val="left"/>
              <w:rPr>
                <w:rFonts w:hint="default"/>
                <w:sz w:val="24"/>
              </w:rPr>
            </w:pPr>
            <w:r>
              <w:rPr>
                <w:rFonts w:hint="eastAsia"/>
                <w:sz w:val="24"/>
              </w:rPr>
              <w:t>汽车试验场工程；</w:t>
            </w:r>
          </w:p>
          <w:p>
            <w:pPr>
              <w:pageBreakBefore w:val="0"/>
              <w:numPr>
                <w:ilvl w:val="0"/>
                <w:numId w:val="6"/>
              </w:numPr>
              <w:kinsoku/>
              <w:wordWrap/>
              <w:overflowPunct/>
              <w:topLinePunct w:val="0"/>
              <w:autoSpaceDE/>
              <w:autoSpaceDN/>
              <w:bidi w:val="0"/>
              <w:adjustRightInd/>
              <w:snapToGrid/>
              <w:spacing w:line="360" w:lineRule="auto"/>
              <w:jc w:val="left"/>
              <w:rPr>
                <w:rFonts w:hint="default"/>
                <w:sz w:val="24"/>
              </w:rPr>
            </w:pPr>
            <w:r>
              <w:rPr>
                <w:rFonts w:hint="eastAsia"/>
                <w:sz w:val="24"/>
              </w:rPr>
              <w:t>城市智能交通工程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bl>
    <w:p>
      <w:pPr>
        <w:pStyle w:val="15"/>
        <w:pageBreakBefore w:val="0"/>
        <w:kinsoku/>
        <w:wordWrap/>
        <w:overflowPunct/>
        <w:topLinePunct w:val="0"/>
        <w:autoSpaceDE/>
        <w:autoSpaceDN/>
        <w:bidi w:val="0"/>
        <w:adjustRightInd/>
        <w:snapToGrid/>
        <w:spacing w:line="360" w:lineRule="auto"/>
        <w:ind w:left="420" w:firstLine="0" w:firstLineChars="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注：历史文化街区道路工程复杂系数取1</w:t>
      </w:r>
      <w:r>
        <w:rPr>
          <w:color w:val="000000" w:themeColor="text1"/>
          <w:sz w:val="24"/>
          <w14:textFill>
            <w14:solidFill>
              <w14:schemeClr w14:val="tx1"/>
            </w14:solidFill>
          </w14:textFill>
        </w:rPr>
        <w:t>.15</w:t>
      </w:r>
      <w:r>
        <w:rPr>
          <w:rFonts w:hint="eastAsia"/>
          <w:color w:val="000000" w:themeColor="text1"/>
          <w:sz w:val="24"/>
          <w14:textFill>
            <w14:solidFill>
              <w14:schemeClr w14:val="tx1"/>
            </w14:solidFill>
          </w14:textFill>
        </w:rPr>
        <w:t>。</w:t>
      </w:r>
    </w:p>
    <w:p>
      <w:pPr>
        <w:pageBreakBefore w:val="0"/>
        <w:kinsoku/>
        <w:wordWrap/>
        <w:overflowPunct/>
        <w:topLinePunct w:val="0"/>
        <w:autoSpaceDE/>
        <w:autoSpaceDN/>
        <w:bidi w:val="0"/>
        <w:adjustRightInd/>
        <w:snapToGrid/>
        <w:spacing w:line="360" w:lineRule="auto"/>
        <w:ind w:firstLine="562" w:firstLineChars="200"/>
        <w:jc w:val="center"/>
        <w:rPr>
          <w:b/>
          <w:bCs/>
          <w:sz w:val="28"/>
          <w:szCs w:val="28"/>
        </w:rPr>
      </w:pPr>
      <w:r>
        <w:rPr>
          <w:rFonts w:hint="eastAsia"/>
          <w:b/>
          <w:bCs/>
          <w:sz w:val="28"/>
          <w:szCs w:val="28"/>
        </w:rPr>
        <w:t>城市立交、桥梁、隧道工程复杂程度影响系数表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5479"/>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blHeader/>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复杂程度</w:t>
            </w:r>
          </w:p>
        </w:tc>
        <w:tc>
          <w:tcPr>
            <w:tcW w:w="547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调整系数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Ⅰ级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1．单孔跨径为 5</w:t>
            </w:r>
            <w:r>
              <w:rPr>
                <w:rFonts w:hint="eastAsia"/>
                <w:sz w:val="24"/>
                <w:lang w:eastAsia="zh-CN"/>
              </w:rPr>
              <w:t>～</w:t>
            </w:r>
            <w:r>
              <w:rPr>
                <w:rFonts w:hint="eastAsia"/>
                <w:sz w:val="24"/>
              </w:rPr>
              <w:t>20m 或多孔跨径总长为 8</w:t>
            </w:r>
            <w:r>
              <w:rPr>
                <w:rFonts w:hint="eastAsia"/>
                <w:sz w:val="24"/>
                <w:lang w:eastAsia="zh-CN"/>
              </w:rPr>
              <w:t>～</w:t>
            </w:r>
            <w:r>
              <w:rPr>
                <w:rFonts w:hint="eastAsia"/>
                <w:sz w:val="24"/>
              </w:rPr>
              <w:t>30m（含 30 m）的桥梁；</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2．长度 3km 以内的敞开式隔声屏。</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Ⅱ级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1．单孔跨径为 20～40m（含 20 m）或多孔跨径总长为</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30</w:t>
            </w:r>
            <w:r>
              <w:rPr>
                <w:rFonts w:hint="eastAsia"/>
                <w:sz w:val="24"/>
                <w:lang w:eastAsia="zh-CN"/>
              </w:rPr>
              <w:t>～</w:t>
            </w:r>
            <w:r>
              <w:rPr>
                <w:rFonts w:hint="eastAsia"/>
                <w:sz w:val="24"/>
              </w:rPr>
              <w:t>100m 的桥梁；</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2．简单城市立交桥、梁式结构的人行天桥、人行地下通道、</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涵洞工程；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3．长度大于 3km 的敞开式隔声屏；</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4．长度≤500m 或开挖跨度≤10m 的隧道工程。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Ⅲ级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1．单孔跨径 50 米以上的预应力混凝土简支梁，跨径 100</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米以上的预应力混凝土连续梁或刚构，跨度 400 米以下拱</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桥，跨度 1000 米以下斜拉桥，跨度 1500 米以下地锚式悬</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索桥，跨度 300 米以下自锚式悬索桥；</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2．500m</w:t>
            </w:r>
            <w:r>
              <w:rPr>
                <w:rFonts w:hint="eastAsia"/>
                <w:sz w:val="24"/>
                <w:lang w:eastAsia="zh-CN"/>
              </w:rPr>
              <w:t>〈</w:t>
            </w:r>
            <w:r>
              <w:rPr>
                <w:rFonts w:hint="eastAsia"/>
                <w:sz w:val="24"/>
              </w:rPr>
              <w:t xml:space="preserve">长度≤1000m 或 10 m </w:t>
            </w:r>
            <w:r>
              <w:rPr>
                <w:rFonts w:hint="eastAsia"/>
                <w:sz w:val="24"/>
                <w:lang w:eastAsia="zh-CN"/>
              </w:rPr>
              <w:t>〈</w:t>
            </w:r>
            <w:r>
              <w:rPr>
                <w:rFonts w:hint="eastAsia"/>
                <w:sz w:val="24"/>
              </w:rPr>
              <w:t>开挖跨度≤15m 的隧道工</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3.非梁式结构的人行天桥；</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4．城市高架桥；</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5．全苜蓿叶型、枢纽型等各类独立的互通式立体交叉工程；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6．封闭式隔声屏。</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Ⅳ级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1．跨度 400 米以上拱桥，跨度 1000 米以上斜拉桥，跨度</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1500 米以上地锚式悬索桥，跨度 300 米以上自锚式悬索桥，</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以及不能归类为以上桥型的新型桥型；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2．现况桥</w:t>
            </w:r>
            <w:r>
              <w:rPr>
                <w:rFonts w:hint="eastAsia"/>
                <w:color w:val="000000" w:themeColor="text1"/>
                <w:sz w:val="24"/>
                <w14:textFill>
                  <w14:solidFill>
                    <w14:schemeClr w14:val="tx1"/>
                  </w14:solidFill>
                </w14:textFill>
              </w:rPr>
              <w:t>梁</w:t>
            </w:r>
            <w:r>
              <w:rPr>
                <w:rFonts w:hint="eastAsia"/>
                <w:color w:val="000000" w:themeColor="text1"/>
                <w:kern w:val="0"/>
                <w:sz w:val="24"/>
                <w:szCs w:val="20"/>
                <w14:textFill>
                  <w14:solidFill>
                    <w14:schemeClr w14:val="tx1"/>
                  </w14:solidFill>
                </w14:textFill>
              </w:rPr>
              <w:t>隧道</w:t>
            </w:r>
            <w:r>
              <w:rPr>
                <w:rFonts w:hint="eastAsia"/>
                <w:color w:val="000000" w:themeColor="text1"/>
                <w:sz w:val="24"/>
                <w14:textFill>
                  <w14:solidFill>
                    <w14:schemeClr w14:val="tx1"/>
                  </w14:solidFill>
                </w14:textFill>
              </w:rPr>
              <w:t>拆除、维修加固工程；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3．长度＞1000m 或开挖跨度＞15m 的隧道工程；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4．地质条件复杂隧道、水下隧道、大直径盾构隧道（管片</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外径大于 10m）、浅埋暗挖隧道。</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bl>
    <w:p>
      <w:pPr>
        <w:pageBreakBefore w:val="0"/>
        <w:kinsoku/>
        <w:wordWrap/>
        <w:overflowPunct/>
        <w:topLinePunct w:val="0"/>
        <w:autoSpaceDE/>
        <w:autoSpaceDN/>
        <w:bidi w:val="0"/>
        <w:adjustRightInd/>
        <w:snapToGrid/>
        <w:spacing w:line="360" w:lineRule="auto"/>
        <w:rPr>
          <w:sz w:val="24"/>
        </w:rPr>
      </w:pPr>
      <w:r>
        <w:rPr>
          <w:sz w:val="24"/>
        </w:rPr>
        <w:t>注：隧道工程包括城市地下道路、地下车库联络道、山岭隧道和水下隧道。</w:t>
      </w:r>
    </w:p>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rPr>
        <w:t>轨道交通工程复杂程度影响系数表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5479"/>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复杂程度</w:t>
            </w:r>
          </w:p>
        </w:tc>
        <w:tc>
          <w:tcPr>
            <w:tcW w:w="547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调整系数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Ⅲ级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地铁工程、轻轨工程、单轨、有轨电车</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Ⅳ级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磁浮工程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bl>
    <w:p>
      <w:pPr>
        <w:pageBreakBefore w:val="0"/>
        <w:kinsoku/>
        <w:wordWrap/>
        <w:overflowPunct/>
        <w:topLinePunct w:val="0"/>
        <w:autoSpaceDE/>
        <w:autoSpaceDN/>
        <w:bidi w:val="0"/>
        <w:adjustRightInd/>
        <w:snapToGrid/>
        <w:spacing w:line="360" w:lineRule="auto"/>
        <w:jc w:val="center"/>
        <w:rPr>
          <w:rFonts w:hint="eastAsia"/>
          <w:b/>
          <w:bCs/>
          <w:sz w:val="28"/>
          <w:szCs w:val="28"/>
        </w:rPr>
      </w:pPr>
      <w:r>
        <w:rPr>
          <w:rFonts w:hint="eastAsia"/>
          <w:b/>
          <w:bCs/>
          <w:sz w:val="28"/>
          <w:szCs w:val="28"/>
        </w:rPr>
        <w:t>公共交通工程复杂程度影响系数表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5479"/>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blHeader/>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复杂程度</w:t>
            </w:r>
          </w:p>
        </w:tc>
        <w:tc>
          <w:tcPr>
            <w:tcW w:w="547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调整系数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Ⅰ级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独立公交站台</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Ⅱ级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面积≤6000m2 的公交场站</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Ⅲ级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 面积＞6000m2 的公交场站；</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 公共交通专用道、公交枢纽、城市综合客运交通枢</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纽（交通方式小于等于两种）。</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Ⅳ级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1．城市综合客运交通枢纽（交通方式大于两种）；</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 快速公交系统（BRT）。</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bl>
    <w:p>
      <w:pPr>
        <w:pageBreakBefore w:val="0"/>
        <w:kinsoku/>
        <w:wordWrap/>
        <w:overflowPunct/>
        <w:topLinePunct w:val="0"/>
        <w:autoSpaceDE/>
        <w:autoSpaceDN/>
        <w:bidi w:val="0"/>
        <w:adjustRightInd/>
        <w:snapToGrid/>
        <w:spacing w:line="360" w:lineRule="auto"/>
        <w:ind w:firstLine="562" w:firstLineChars="200"/>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综合管廊工程复杂程度影响系数表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5479"/>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blHeader/>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复杂程度</w:t>
            </w:r>
          </w:p>
        </w:tc>
        <w:tc>
          <w:tcPr>
            <w:tcW w:w="5479" w:type="dxa"/>
            <w:vAlign w:val="center"/>
          </w:tcPr>
          <w:p>
            <w:pPr>
              <w:pageBreakBefore w:val="0"/>
              <w:kinsoku/>
              <w:wordWrap/>
              <w:overflowPunct/>
              <w:topLinePunct w:val="0"/>
              <w:autoSpaceDE/>
              <w:autoSpaceDN/>
              <w:bidi w:val="0"/>
              <w:adjustRightInd/>
              <w:snapToGrid/>
              <w:spacing w:line="360" w:lineRule="auto"/>
              <w:jc w:val="center"/>
              <w:rPr>
                <w:rFonts w:hint="default"/>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工程设计条件</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调整系数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Ⅱ级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1.缆线综合管廊。</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2.单舱干线或支线（管廊规划不含排水管线）综合管廊。</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Ⅲ级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1.单舱干线或支线（管廊规划包含排水管线）综合管廊。</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2多舱干线或支线（管廊规划不含排水管线）综合管廊。</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Ⅳ级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多舱干线或支线（管廊规划包含排水管线）综合管廊。</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1.3</w:t>
            </w:r>
          </w:p>
        </w:tc>
      </w:tr>
    </w:tbl>
    <w:p>
      <w:pPr>
        <w:pageBreakBefore w:val="0"/>
        <w:kinsoku/>
        <w:wordWrap/>
        <w:overflowPunct/>
        <w:topLinePunct w:val="0"/>
        <w:autoSpaceDE/>
        <w:autoSpaceDN/>
        <w:bidi w:val="0"/>
        <w:adjustRightInd/>
        <w:snapToGrid/>
        <w:spacing w:line="360" w:lineRule="auto"/>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注：</w:t>
      </w:r>
      <w:r>
        <w:rPr>
          <w:rFonts w:hint="eastAsia"/>
          <w:color w:val="000000" w:themeColor="text1"/>
          <w:sz w:val="24"/>
          <w14:textFill>
            <w14:solidFill>
              <w14:schemeClr w14:val="tx1"/>
            </w14:solidFill>
          </w14:textFill>
        </w:rPr>
        <w:t>不含综合管廊内部专业管线专项设计</w:t>
      </w:r>
      <w:r>
        <w:rPr>
          <w:color w:val="000000" w:themeColor="text1"/>
          <w:sz w:val="24"/>
          <w14:textFill>
            <w14:solidFill>
              <w14:schemeClr w14:val="tx1"/>
            </w14:solidFill>
          </w14:textFill>
        </w:rPr>
        <w:t>。</w:t>
      </w:r>
    </w:p>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rPr>
        <w:t>给排水工程复杂程度影响系数表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5479"/>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blHeader/>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复杂程度</w:t>
            </w:r>
          </w:p>
        </w:tc>
        <w:tc>
          <w:tcPr>
            <w:tcW w:w="547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调整系数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Ⅰ级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1．一般给水（含再生水）管线（DN≤0.15m，无管线交叉）工程；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2．一般排水地下管线（DN≤0.6m，无管线交叉）工程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Ⅱ级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1．城区给水（含再生水）管线（DN≤0.15m，有管线交叉）；</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2．城区排水管线，一般排水地下管线（DN≤0.6m，有管线交叉）工程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Ⅲ级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1．大中型排水管线（DN＞0.6m）工程；大中型给水管线（DN＞0.15m）工程；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2．排水渠、涵；</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3．泵站、地下调蓄池、水闸等构筑物；</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lang w:val="en-US" w:eastAsia="zh-CN"/>
              </w:rPr>
              <w:t>4</w:t>
            </w:r>
            <w:r>
              <w:rPr>
                <w:rFonts w:hint="eastAsia"/>
                <w:sz w:val="24"/>
              </w:rPr>
              <w:t>．海绵城市、雨水收储设施</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Ⅳ级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1．净水厂、污水处理厂、再生水处理厂、工业废水处理、污泥处理工程、海水淡化及水处理工程；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2．长距离超大型输配水管线（长度≥10.0Km 、管径≥2.4m）；</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3．长距离超大型的排水管线（长度≥5.0Km、管径≥3.0m,）；</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lang w:val="en-US" w:eastAsia="zh-CN"/>
              </w:rPr>
              <w:t>4</w:t>
            </w:r>
            <w:r>
              <w:rPr>
                <w:rFonts w:hint="eastAsia"/>
                <w:sz w:val="24"/>
              </w:rPr>
              <w:t>．取水口（取水头部）工程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bl>
    <w:p>
      <w:pPr>
        <w:pageBreakBefore w:val="0"/>
        <w:kinsoku/>
        <w:wordWrap/>
        <w:overflowPunct/>
        <w:topLinePunct w:val="0"/>
        <w:autoSpaceDE/>
        <w:autoSpaceDN/>
        <w:bidi w:val="0"/>
        <w:adjustRightInd/>
        <w:snapToGrid/>
        <w:spacing w:line="360" w:lineRule="auto"/>
        <w:jc w:val="center"/>
        <w:rPr>
          <w:sz w:val="24"/>
        </w:rPr>
      </w:pPr>
      <w:r>
        <w:rPr>
          <w:rFonts w:hint="eastAsia"/>
          <w:sz w:val="24"/>
        </w:rPr>
        <w:t>注：垃圾填埋场、环境修复工程含景观设计要求，景观设计部分参见园林绿化程。</w:t>
      </w:r>
    </w:p>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lang w:eastAsia="zh-CN"/>
        </w:rPr>
        <w:t>环境卫生</w:t>
      </w:r>
      <w:r>
        <w:rPr>
          <w:rFonts w:hint="eastAsia"/>
          <w:b/>
          <w:bCs/>
          <w:sz w:val="28"/>
          <w:szCs w:val="28"/>
        </w:rPr>
        <w:t>复杂程度影响系数表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5479"/>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blHeader/>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复杂程度</w:t>
            </w:r>
          </w:p>
        </w:tc>
        <w:tc>
          <w:tcPr>
            <w:tcW w:w="5479" w:type="dxa"/>
            <w:vAlign w:val="center"/>
          </w:tcPr>
          <w:p>
            <w:pPr>
              <w:pageBreakBefore w:val="0"/>
              <w:kinsoku/>
              <w:wordWrap/>
              <w:overflowPunct/>
              <w:topLinePunct w:val="0"/>
              <w:autoSpaceDE/>
              <w:autoSpaceDN/>
              <w:bidi w:val="0"/>
              <w:adjustRightInd/>
              <w:snapToGrid/>
              <w:spacing w:line="360" w:lineRule="auto"/>
              <w:jc w:val="center"/>
              <w:rPr>
                <w:rFonts w:hint="default"/>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工程设计条件</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调整系数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Ⅰ级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公厕及收集站</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Ⅱ级</w:t>
            </w:r>
          </w:p>
        </w:tc>
        <w:tc>
          <w:tcPr>
            <w:tcW w:w="5479" w:type="dxa"/>
            <w:vAlign w:val="center"/>
          </w:tcPr>
          <w:p>
            <w:pPr>
              <w:pageBreakBefore w:val="0"/>
              <w:numPr>
                <w:ilvl w:val="0"/>
                <w:numId w:val="7"/>
              </w:numPr>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＜450T/d 小、中型垃圾转运站</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2．＜500T/d 卫生填埋场</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3．一般工业固体废弃物</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Ⅲ级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1．≥450T/d 大型垃圾转运站</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2．≥500T/d 卫生填埋场</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3．粪便处理厂</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4．填埋气体收集利用工程</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5．环境修复工程（含土壤修复、填埋场封场或开挖修复、黑臭水体治理及流域环境综合整治等）</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6．电子垃圾资源化</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7．畜禽无害化处理工程</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8．建筑垃圾处理工程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Ⅳ级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1．垃圾及污泥生化处理厂 </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2．废物协同性处置工程</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3．医疗废物及危险废物处理处置工程 </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4．地下式垃圾转运、处理工程</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5．餐厨垃圾等生物质处理工程</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6．垃圾焚烧处理工程</w:t>
            </w:r>
          </w:p>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7．垃圾全程分类、资源再利用工程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1.3</w:t>
            </w:r>
          </w:p>
        </w:tc>
      </w:tr>
    </w:tbl>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rPr>
        <w:t>燃气工程复杂程度影响系数表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5479"/>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复杂程度</w:t>
            </w:r>
          </w:p>
        </w:tc>
        <w:tc>
          <w:tcPr>
            <w:tcW w:w="547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调整系数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Ⅰ级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1．庭院户内燃气管道工程；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2．自然气化的燃气瓶组供应站工程。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Ⅱ级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1．小时流量≤30000m3 调压站；</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2．燃气中压管线；</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3．≤20000 户气化站、混气站；</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4．≤500m³的储配站工程或总容积≤500m3LNG 站。</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Ⅲ级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1．燃气高压</w:t>
            </w:r>
            <w:r>
              <w:rPr>
                <w:rFonts w:hint="eastAsia"/>
                <w:color w:val="000000" w:themeColor="text1"/>
                <w:sz w:val="24"/>
                <w14:textFill>
                  <w14:solidFill>
                    <w14:schemeClr w14:val="tx1"/>
                  </w14:solidFill>
                </w14:textFill>
              </w:rPr>
              <w:t>、次高压</w:t>
            </w:r>
            <w:r>
              <w:rPr>
                <w:rFonts w:hint="default"/>
                <w:color w:val="000000" w:themeColor="text1"/>
                <w:sz w:val="24"/>
                <w14:textFill>
                  <w14:solidFill>
                    <w14:schemeClr w14:val="tx1"/>
                  </w14:solidFill>
                </w14:textFill>
              </w:rPr>
              <w:t>管线；</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2．大于 20000 户气化站、混气站；</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3．大于 500 m³且≤5000 m³的储配站或≤总容积 5000m3LNG 站；</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4．≤500m 燃气管线的穿、跨越工程；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5．门站，加气</w:t>
            </w:r>
            <w:r>
              <w:rPr>
                <w:rFonts w:hint="eastAsia"/>
                <w:color w:val="000000" w:themeColor="text1"/>
                <w:sz w:val="24"/>
                <w14:textFill>
                  <w14:solidFill>
                    <w14:schemeClr w14:val="tx1"/>
                  </w14:solidFill>
                </w14:textFill>
              </w:rPr>
              <w:t>站，加氢站</w:t>
            </w:r>
            <w:r>
              <w:rPr>
                <w:rFonts w:hint="default"/>
                <w:color w:val="000000" w:themeColor="text1"/>
                <w:sz w:val="24"/>
                <w14:textFill>
                  <w14:solidFill>
                    <w14:schemeClr w14:val="tx1"/>
                  </w14:solidFill>
                </w14:textFill>
              </w:rPr>
              <w:t>；</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6．小时流量大于 30000m3 调压站。</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Ⅳ级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1．大于 5000m³的储配站或大于 5000m3LNG 站；</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2．大于 500m 燃气管线的穿跨越工程；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3．LNG 液化工厂。</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bl>
    <w:p>
      <w:pPr>
        <w:pageBreakBefore w:val="0"/>
        <w:kinsoku/>
        <w:wordWrap/>
        <w:overflowPunct/>
        <w:topLinePunct w:val="0"/>
        <w:autoSpaceDE/>
        <w:autoSpaceDN/>
        <w:bidi w:val="0"/>
        <w:adjustRightInd/>
        <w:snapToGrid/>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注：1.储配站指高压球罐储存输送，低压气柜储存、净化、加压输送</w:t>
      </w:r>
      <w:r>
        <w:rPr>
          <w:rFonts w:hint="eastAsia"/>
          <w:color w:val="000000" w:themeColor="text1"/>
          <w:sz w:val="24"/>
          <w14:textFill>
            <w14:solidFill>
              <w14:schemeClr w14:val="tx1"/>
            </w14:solidFill>
          </w14:textFill>
        </w:rPr>
        <w:t>，液化石油气（LPG）压力储罐储配、充装、灌瓶</w:t>
      </w:r>
      <w:r>
        <w:rPr>
          <w:color w:val="000000" w:themeColor="text1"/>
          <w:sz w:val="24"/>
          <w14:textFill>
            <w14:solidFill>
              <w14:schemeClr w14:val="tx1"/>
            </w14:solidFill>
          </w14:textFill>
        </w:rPr>
        <w:t>。</w:t>
      </w:r>
    </w:p>
    <w:p>
      <w:pPr>
        <w:pageBreakBefore w:val="0"/>
        <w:kinsoku/>
        <w:wordWrap/>
        <w:overflowPunct/>
        <w:topLinePunct w:val="0"/>
        <w:autoSpaceDE/>
        <w:autoSpaceDN/>
        <w:bidi w:val="0"/>
        <w:adjustRightInd/>
        <w:snapToGrid/>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加气站指 CNG加气母站和 CNG、LNG加气常规站。</w:t>
      </w:r>
    </w:p>
    <w:p>
      <w:pPr>
        <w:pageBreakBefore w:val="0"/>
        <w:kinsoku/>
        <w:wordWrap/>
        <w:overflowPunct/>
        <w:topLinePunct w:val="0"/>
        <w:autoSpaceDE/>
        <w:autoSpaceDN/>
        <w:bidi w:val="0"/>
        <w:adjustRightInd/>
        <w:snapToGrid/>
        <w:spacing w:line="360" w:lineRule="auto"/>
        <w:jc w:val="center"/>
        <w:outlineLvl w:val="0"/>
        <w:rPr>
          <w:b/>
          <w:bCs/>
          <w:sz w:val="28"/>
          <w:szCs w:val="28"/>
        </w:rPr>
      </w:pPr>
      <w:bookmarkStart w:id="20" w:name="_Toc9880"/>
      <w:r>
        <w:rPr>
          <w:rFonts w:hint="eastAsia"/>
          <w:b/>
          <w:bCs/>
          <w:sz w:val="28"/>
          <w:szCs w:val="28"/>
        </w:rPr>
        <w:t>热力工程复杂程度影响系数信息表</w:t>
      </w:r>
      <w:bookmarkEnd w:id="20"/>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5479"/>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blHeader/>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复杂程度</w:t>
            </w:r>
          </w:p>
        </w:tc>
        <w:tc>
          <w:tcPr>
            <w:tcW w:w="547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调整系数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Ⅰ级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1．供热小区管网（二级网）工程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Ⅱ级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1．≤2MW 的小型换热站工程；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2．DN≤400mm 热水管道工程；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3．10t/h（7MW）及以下锅炉房。</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Ⅲ级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1．&gt;2MW 的换热站工程；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2．DN≤400mm 蒸汽管道工程；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3．400mm&lt;DN＜1200mm 热水管道工程；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4．大于 10t/h（7MV），小于等于 20t/h（14MV）锅炉房；</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5．穿、跨越管线。</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373"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Ⅳ级</w:t>
            </w:r>
          </w:p>
        </w:tc>
        <w:tc>
          <w:tcPr>
            <w:tcW w:w="5479" w:type="dxa"/>
            <w:vAlign w:val="center"/>
          </w:tcPr>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1．DN＞400mm 蒸汽管道工程；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2．DN≥1200mm 热水管道工程；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3．供热面积大于 500 万 m2 的加压泵站、中继能源站或隔压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换热站工程；换热首站；</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4．多热源联网工程；</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5．蒸汽锅炉和热水锅炉合建的热源厂；</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6．不同容量规模锅炉合建的热源厂；</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7．大于 20t/h（14MV）锅炉房；</w:t>
            </w:r>
          </w:p>
          <w:p>
            <w:pPr>
              <w:pageBreakBefore w:val="0"/>
              <w:kinsoku/>
              <w:wordWrap/>
              <w:overflowPunct/>
              <w:topLinePunct w:val="0"/>
              <w:autoSpaceDE/>
              <w:autoSpaceDN/>
              <w:bidi w:val="0"/>
              <w:adjustRightInd/>
              <w:snapToGrid/>
              <w:spacing w:line="360" w:lineRule="auto"/>
              <w:jc w:val="left"/>
              <w:rPr>
                <w:rFonts w:hint="default"/>
                <w:sz w:val="24"/>
              </w:rPr>
            </w:pPr>
            <w:r>
              <w:rPr>
                <w:rFonts w:hint="eastAsia"/>
                <w:sz w:val="24"/>
              </w:rPr>
              <w:t>8.新能源供热工程。</w:t>
            </w:r>
          </w:p>
        </w:tc>
        <w:tc>
          <w:tcPr>
            <w:tcW w:w="166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bl>
    <w:p>
      <w:pPr>
        <w:pageBreakBefore w:val="0"/>
        <w:numPr>
          <w:ilvl w:val="0"/>
          <w:numId w:val="1"/>
        </w:numPr>
        <w:kinsoku/>
        <w:wordWrap/>
        <w:overflowPunct/>
        <w:topLinePunct w:val="0"/>
        <w:autoSpaceDE/>
        <w:autoSpaceDN/>
        <w:bidi w:val="0"/>
        <w:adjustRightInd/>
        <w:snapToGrid/>
        <w:spacing w:line="360" w:lineRule="auto"/>
        <w:outlineLvl w:val="0"/>
        <w:rPr>
          <w:b/>
          <w:bCs/>
          <w:sz w:val="28"/>
          <w:szCs w:val="28"/>
        </w:rPr>
      </w:pPr>
      <w:bookmarkStart w:id="21" w:name="_Toc1746"/>
      <w:r>
        <w:rPr>
          <w:rFonts w:hint="eastAsia"/>
          <w:b/>
          <w:bCs/>
          <w:sz w:val="28"/>
          <w:szCs w:val="28"/>
        </w:rPr>
        <w:t>市政工程设计附加调整系数</w:t>
      </w:r>
      <w:bookmarkEnd w:id="21"/>
    </w:p>
    <w:p>
      <w:pPr>
        <w:pageBreakBefore w:val="0"/>
        <w:kinsoku/>
        <w:wordWrap/>
        <w:overflowPunct/>
        <w:topLinePunct w:val="0"/>
        <w:autoSpaceDE/>
        <w:autoSpaceDN/>
        <w:bidi w:val="0"/>
        <w:adjustRightInd/>
        <w:snapToGrid/>
        <w:spacing w:line="360" w:lineRule="auto"/>
        <w:jc w:val="center"/>
        <w:rPr>
          <w:b/>
          <w:bCs/>
          <w:sz w:val="28"/>
          <w:szCs w:val="28"/>
        </w:rPr>
      </w:pPr>
      <w:bookmarkStart w:id="22" w:name="_Toc5376"/>
      <w:r>
        <w:rPr>
          <w:b/>
          <w:bCs/>
          <w:sz w:val="28"/>
          <w:szCs w:val="28"/>
        </w:rPr>
        <w:t>道路工程附加</w:t>
      </w:r>
      <w:r>
        <w:rPr>
          <w:rFonts w:hint="eastAsia"/>
          <w:b/>
          <w:bCs/>
          <w:sz w:val="28"/>
          <w:szCs w:val="28"/>
        </w:rPr>
        <w:t>调整</w:t>
      </w:r>
      <w:r>
        <w:rPr>
          <w:b/>
          <w:bCs/>
          <w:sz w:val="28"/>
          <w:szCs w:val="28"/>
        </w:rPr>
        <w:t>系数</w:t>
      </w:r>
      <w:bookmarkEnd w:id="22"/>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5481"/>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Header/>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附加系数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城市道路通过地下管网密集区</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城市道路通过地下管网密集区</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跨越铁路、地铁等既有构筑物</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4</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道路维修、改扩建</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1.2~1.4</w:t>
            </w:r>
          </w:p>
        </w:tc>
      </w:tr>
    </w:tbl>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rPr>
        <w:t>城市立交、桥梁、隧道工程</w:t>
      </w:r>
      <w:r>
        <w:rPr>
          <w:b/>
          <w:bCs/>
          <w:sz w:val="28"/>
          <w:szCs w:val="28"/>
        </w:rPr>
        <w:t>附加</w:t>
      </w:r>
      <w:r>
        <w:rPr>
          <w:rFonts w:hint="eastAsia"/>
          <w:b/>
          <w:bCs/>
          <w:sz w:val="28"/>
          <w:szCs w:val="28"/>
        </w:rPr>
        <w:t>调整</w:t>
      </w:r>
      <w:r>
        <w:rPr>
          <w:b/>
          <w:bCs/>
          <w:sz w:val="28"/>
          <w:szCs w:val="28"/>
        </w:rPr>
        <w:t>系数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5481"/>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附加系数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桥梁、隧道通过地下管网密集区和敏感建筑群</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桥</w:t>
            </w:r>
            <w:r>
              <w:rPr>
                <w:rFonts w:hint="eastAsia"/>
                <w:color w:val="000000" w:themeColor="text1"/>
                <w:sz w:val="24"/>
                <w14:textFill>
                  <w14:solidFill>
                    <w14:schemeClr w14:val="tx1"/>
                  </w14:solidFill>
                </w14:textFill>
              </w:rPr>
              <w:t>梁</w:t>
            </w:r>
            <w:r>
              <w:rPr>
                <w:rFonts w:hint="eastAsia"/>
                <w:color w:val="000000" w:themeColor="text1"/>
                <w:kern w:val="0"/>
                <w:sz w:val="24"/>
                <w:szCs w:val="20"/>
                <w14:textFill>
                  <w14:solidFill>
                    <w14:schemeClr w14:val="tx1"/>
                  </w14:solidFill>
                </w14:textFill>
              </w:rPr>
              <w:t>、隧道</w:t>
            </w:r>
            <w:r>
              <w:rPr>
                <w:rFonts w:hint="eastAsia"/>
                <w:color w:val="000000" w:themeColor="text1"/>
                <w:sz w:val="24"/>
                <w14:textFill>
                  <w14:solidFill>
                    <w14:schemeClr w14:val="tx1"/>
                  </w14:solidFill>
                </w14:textFill>
              </w:rPr>
              <w:t>景观照明</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桥梁、隧道工程改扩建</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4</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景观桥梁（含景观人行天桥）</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5</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现况桥梁、隧道维修加固</w:t>
            </w:r>
            <w:r>
              <w:rPr>
                <w:rFonts w:hint="eastAsia"/>
                <w:sz w:val="24"/>
                <w:lang w:eastAsia="zh-CN"/>
              </w:rPr>
              <w:t>（</w:t>
            </w:r>
            <w:r>
              <w:rPr>
                <w:rFonts w:hint="eastAsia"/>
                <w:sz w:val="24"/>
              </w:rPr>
              <w:t>含安全设施维修加固</w:t>
            </w:r>
            <w:r>
              <w:rPr>
                <w:rFonts w:hint="eastAsia"/>
                <w:sz w:val="24"/>
                <w:lang w:eastAsia="zh-CN"/>
              </w:rPr>
              <w:t>）</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6</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Ⅰ级工程附加</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2.0</w:t>
            </w:r>
          </w:p>
        </w:tc>
      </w:tr>
    </w:tbl>
    <w:p>
      <w:pPr>
        <w:pageBreakBefore w:val="0"/>
        <w:kinsoku/>
        <w:wordWrap/>
        <w:overflowPunct/>
        <w:topLinePunct w:val="0"/>
        <w:autoSpaceDE/>
        <w:autoSpaceDN/>
        <w:bidi w:val="0"/>
        <w:adjustRightInd/>
        <w:snapToGrid/>
        <w:spacing w:line="360" w:lineRule="auto"/>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综合管廊工程</w:t>
      </w:r>
      <w:r>
        <w:rPr>
          <w:b/>
          <w:bCs/>
          <w:color w:val="000000" w:themeColor="text1"/>
          <w:sz w:val="28"/>
          <w:szCs w:val="28"/>
          <w14:textFill>
            <w14:solidFill>
              <w14:schemeClr w14:val="tx1"/>
            </w14:solidFill>
          </w14:textFill>
        </w:rPr>
        <w:t>附加</w:t>
      </w:r>
      <w:r>
        <w:rPr>
          <w:rFonts w:hint="eastAsia"/>
          <w:b/>
          <w:bCs/>
          <w:color w:val="000000" w:themeColor="text1"/>
          <w:sz w:val="28"/>
          <w:szCs w:val="28"/>
          <w14:textFill>
            <w14:solidFill>
              <w14:schemeClr w14:val="tx1"/>
            </w14:solidFill>
          </w14:textFill>
        </w:rPr>
        <w:t>调整</w:t>
      </w:r>
      <w:r>
        <w:rPr>
          <w:b/>
          <w:bCs/>
          <w:color w:val="000000" w:themeColor="text1"/>
          <w:sz w:val="28"/>
          <w:szCs w:val="28"/>
          <w14:textFill>
            <w14:solidFill>
              <w14:schemeClr w14:val="tx1"/>
            </w14:solidFill>
          </w14:textFill>
        </w:rPr>
        <w:t>系数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5481"/>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Header/>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序号</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工程设计条件</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附加系数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通过地下管网密集区和敏感建筑群</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改扩建工程</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维修加固</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w:t>
            </w:r>
          </w:p>
        </w:tc>
      </w:tr>
    </w:tbl>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rPr>
        <w:t>公共交通工程</w:t>
      </w:r>
      <w:r>
        <w:rPr>
          <w:b/>
          <w:bCs/>
          <w:sz w:val="28"/>
          <w:szCs w:val="28"/>
        </w:rPr>
        <w:t>附加</w:t>
      </w:r>
      <w:r>
        <w:rPr>
          <w:rFonts w:hint="eastAsia"/>
          <w:b/>
          <w:bCs/>
          <w:sz w:val="28"/>
          <w:szCs w:val="28"/>
        </w:rPr>
        <w:t>调整</w:t>
      </w:r>
      <w:r>
        <w:rPr>
          <w:b/>
          <w:bCs/>
          <w:sz w:val="28"/>
          <w:szCs w:val="28"/>
        </w:rPr>
        <w:t>系数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5481"/>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附加系数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快速公交系统（BRT）穿越城市中心密集区域、公交场站改造</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运营智能信息系统</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城市客运交通枢纽改造</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4</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城市客运交通枢纽位于中心城区、城市重点地段或换乘高架、地面车站</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5</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城市客运交通枢纽二次装修工程设计</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6</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Ⅰ级工程附加</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7</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城市客运交通枢纽导向标识</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3.0</w:t>
            </w:r>
          </w:p>
        </w:tc>
      </w:tr>
    </w:tbl>
    <w:p>
      <w:pPr>
        <w:pageBreakBefore w:val="0"/>
        <w:kinsoku/>
        <w:wordWrap/>
        <w:overflowPunct/>
        <w:topLinePunct w:val="0"/>
        <w:autoSpaceDE/>
        <w:autoSpaceDN/>
        <w:bidi w:val="0"/>
        <w:adjustRightInd/>
        <w:snapToGrid/>
        <w:spacing w:line="360" w:lineRule="auto"/>
        <w:rPr>
          <w:sz w:val="24"/>
        </w:rPr>
      </w:pPr>
      <w:r>
        <w:rPr>
          <w:rFonts w:hint="eastAsia"/>
          <w:sz w:val="24"/>
        </w:rPr>
        <w:t>注：城市客运交通枢纽附加调整系数只适用于分部工程是单独委托的项目。</w:t>
      </w:r>
    </w:p>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rPr>
        <w:t>轨道交通工程</w:t>
      </w:r>
      <w:r>
        <w:rPr>
          <w:b/>
          <w:bCs/>
          <w:sz w:val="28"/>
          <w:szCs w:val="28"/>
        </w:rPr>
        <w:t>附加</w:t>
      </w:r>
      <w:r>
        <w:rPr>
          <w:rFonts w:hint="eastAsia"/>
          <w:b/>
          <w:bCs/>
          <w:sz w:val="28"/>
          <w:szCs w:val="28"/>
        </w:rPr>
        <w:t>调整</w:t>
      </w:r>
      <w:r>
        <w:rPr>
          <w:b/>
          <w:bCs/>
          <w:sz w:val="28"/>
          <w:szCs w:val="28"/>
        </w:rPr>
        <w:t>系数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6360"/>
        <w:gridCol w:w="1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Header/>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附加系数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土建工程穿越地下管网及建筑物、构筑物密集地区</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w:t>
            </w:r>
          </w:p>
        </w:tc>
        <w:tc>
          <w:tcPr>
            <w:tcW w:w="7672" w:type="dxa"/>
            <w:gridSpan w:val="2"/>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高架车站、地面车站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2.1</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高架、地面车站位于城市新区、开发区，周边交通环境简单</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2.2</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高架、地面车站位于城市一般地区</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2.3</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高架、地面车站位于中心城区、城市重点地段或换乘高架、地面车站</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w:t>
            </w:r>
          </w:p>
        </w:tc>
        <w:tc>
          <w:tcPr>
            <w:tcW w:w="7672" w:type="dxa"/>
            <w:gridSpan w:val="2"/>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地下车站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3.1</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普通地下车站</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3.2</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换乘地下站或位于中心城区、城市重点地段的普通地下车站</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3.3</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位于中心城区、城市重点地段的换乘地下车站</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3.4</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多线换乘以及换乘设计涉及既有车站改造的地下车站</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4</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控制中心、指挥中心</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5</w:t>
            </w:r>
          </w:p>
        </w:tc>
        <w:tc>
          <w:tcPr>
            <w:tcW w:w="7672" w:type="dxa"/>
            <w:gridSpan w:val="2"/>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车辆基地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5.1</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停车场</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5.2</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车辆段</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5.3</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涉及上盖开发的停车场、车辆段</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6</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既有线改扩建</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7</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装修与景观</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8</w:t>
            </w:r>
          </w:p>
        </w:tc>
        <w:tc>
          <w:tcPr>
            <w:tcW w:w="6360"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导向标识（换乘站取上限）</w:t>
            </w:r>
          </w:p>
        </w:tc>
        <w:tc>
          <w:tcPr>
            <w:tcW w:w="1312"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2.5~3.0</w:t>
            </w:r>
          </w:p>
        </w:tc>
      </w:tr>
    </w:tbl>
    <w:p>
      <w:pPr>
        <w:pageBreakBefore w:val="0"/>
        <w:kinsoku/>
        <w:wordWrap/>
        <w:overflowPunct/>
        <w:topLinePunct w:val="0"/>
        <w:autoSpaceDE/>
        <w:autoSpaceDN/>
        <w:bidi w:val="0"/>
        <w:adjustRightInd/>
        <w:snapToGrid/>
        <w:spacing w:line="360" w:lineRule="auto"/>
        <w:jc w:val="center"/>
        <w:rPr>
          <w:b/>
          <w:bCs/>
          <w:sz w:val="28"/>
          <w:szCs w:val="28"/>
        </w:rPr>
      </w:pPr>
      <w:r>
        <w:rPr>
          <w:rFonts w:hint="eastAsia"/>
          <w:sz w:val="24"/>
        </w:rPr>
        <w:t>注：城市客运交通枢纽附加调整系数只适用于分部工程是单独委托的项目。</w:t>
      </w:r>
    </w:p>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rPr>
        <w:t>给排水工程</w:t>
      </w:r>
      <w:r>
        <w:rPr>
          <w:b/>
          <w:bCs/>
          <w:sz w:val="28"/>
          <w:szCs w:val="28"/>
        </w:rPr>
        <w:t>附加</w:t>
      </w:r>
      <w:r>
        <w:rPr>
          <w:rFonts w:hint="eastAsia"/>
          <w:b/>
          <w:bCs/>
          <w:sz w:val="28"/>
          <w:szCs w:val="28"/>
        </w:rPr>
        <w:t>调整</w:t>
      </w:r>
      <w:r>
        <w:rPr>
          <w:b/>
          <w:bCs/>
          <w:sz w:val="28"/>
          <w:szCs w:val="28"/>
        </w:rPr>
        <w:t>系数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5481"/>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Header/>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附加系数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各类给排水管线穿越管网密集区或</w:t>
            </w:r>
          </w:p>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穿越既有建构筑物（铁路、地铁、河道及道路等）</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净水厂、污水处理厂、再生水厂及泵站</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给排水管线改扩建</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4</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海绵城市、雨水收储设施</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5</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地下式净水厂、污水处理厂及再生水厂</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6</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二次供水系统改扩建</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7</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厂站改扩建</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1.4</w:t>
            </w:r>
          </w:p>
        </w:tc>
      </w:tr>
    </w:tbl>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lang w:eastAsia="zh-CN"/>
        </w:rPr>
        <w:t>环境卫生</w:t>
      </w:r>
      <w:r>
        <w:rPr>
          <w:b/>
          <w:bCs/>
          <w:sz w:val="28"/>
          <w:szCs w:val="28"/>
        </w:rPr>
        <w:t>附加</w:t>
      </w:r>
      <w:r>
        <w:rPr>
          <w:rFonts w:hint="eastAsia"/>
          <w:b/>
          <w:bCs/>
          <w:sz w:val="28"/>
          <w:szCs w:val="28"/>
        </w:rPr>
        <w:t>调整</w:t>
      </w:r>
      <w:r>
        <w:rPr>
          <w:b/>
          <w:bCs/>
          <w:sz w:val="28"/>
          <w:szCs w:val="28"/>
        </w:rPr>
        <w:t>系数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5481"/>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附加系数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垃圾转运、处理处置设施工程含有渗滤液处理</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垃圾处理工程中含能源利用</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废物处理处置工程含综合利用</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1.4</w:t>
            </w:r>
          </w:p>
        </w:tc>
      </w:tr>
    </w:tbl>
    <w:p>
      <w:pPr>
        <w:pageBreakBefore w:val="0"/>
        <w:kinsoku/>
        <w:wordWrap/>
        <w:overflowPunct/>
        <w:topLinePunct w:val="0"/>
        <w:autoSpaceDE/>
        <w:autoSpaceDN/>
        <w:bidi w:val="0"/>
        <w:adjustRightInd/>
        <w:snapToGrid/>
        <w:spacing w:line="360" w:lineRule="auto"/>
        <w:jc w:val="center"/>
        <w:rPr>
          <w:b/>
          <w:bCs/>
          <w:sz w:val="28"/>
          <w:szCs w:val="28"/>
        </w:rPr>
      </w:pPr>
      <w:r>
        <w:rPr>
          <w:rFonts w:hint="eastAsia"/>
          <w:b/>
          <w:bCs/>
          <w:sz w:val="28"/>
          <w:szCs w:val="28"/>
        </w:rPr>
        <w:t>燃气热力</w:t>
      </w:r>
      <w:r>
        <w:rPr>
          <w:rFonts w:hint="eastAsia"/>
          <w:b/>
          <w:bCs/>
          <w:sz w:val="28"/>
          <w:szCs w:val="28"/>
          <w:lang w:eastAsia="zh-CN"/>
        </w:rPr>
        <w:t>工程</w:t>
      </w:r>
      <w:r>
        <w:rPr>
          <w:b/>
          <w:bCs/>
          <w:sz w:val="28"/>
          <w:szCs w:val="28"/>
        </w:rPr>
        <w:t>成本附加</w:t>
      </w:r>
      <w:r>
        <w:rPr>
          <w:rFonts w:hint="eastAsia"/>
          <w:b/>
          <w:bCs/>
          <w:sz w:val="28"/>
          <w:szCs w:val="28"/>
        </w:rPr>
        <w:t>调整</w:t>
      </w:r>
      <w:r>
        <w:rPr>
          <w:b/>
          <w:bCs/>
          <w:sz w:val="28"/>
          <w:szCs w:val="28"/>
        </w:rPr>
        <w:t>系数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5481"/>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工程设计条件</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附加系数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4"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c>
          <w:tcPr>
            <w:tcW w:w="548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燃气热力工程改扩建</w:t>
            </w:r>
          </w:p>
        </w:tc>
        <w:tc>
          <w:tcPr>
            <w:tcW w:w="1657"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1.4</w:t>
            </w:r>
          </w:p>
        </w:tc>
      </w:tr>
    </w:tbl>
    <w:p>
      <w:pPr>
        <w:pageBreakBefore w:val="0"/>
        <w:numPr>
          <w:ilvl w:val="0"/>
          <w:numId w:val="1"/>
        </w:numPr>
        <w:kinsoku/>
        <w:wordWrap/>
        <w:overflowPunct/>
        <w:topLinePunct w:val="0"/>
        <w:autoSpaceDE/>
        <w:autoSpaceDN/>
        <w:bidi w:val="0"/>
        <w:adjustRightInd/>
        <w:snapToGrid/>
        <w:spacing w:line="360" w:lineRule="auto"/>
        <w:outlineLvl w:val="0"/>
        <w:rPr>
          <w:b/>
          <w:bCs/>
          <w:sz w:val="28"/>
          <w:szCs w:val="28"/>
        </w:rPr>
      </w:pPr>
      <w:bookmarkStart w:id="23" w:name="_Toc7997"/>
      <w:r>
        <w:rPr>
          <w:rFonts w:hint="eastAsia"/>
          <w:b/>
          <w:bCs/>
          <w:sz w:val="28"/>
          <w:szCs w:val="28"/>
        </w:rPr>
        <w:t>市政工程各阶段工作量比例</w:t>
      </w:r>
      <w:bookmarkEnd w:id="23"/>
    </w:p>
    <w:tbl>
      <w:tblPr>
        <w:tblStyle w:val="7"/>
        <w:tblW w:w="8431" w:type="dxa"/>
        <w:tblInd w:w="93" w:type="dxa"/>
        <w:tblLayout w:type="autofit"/>
        <w:tblCellMar>
          <w:top w:w="0" w:type="dxa"/>
          <w:left w:w="108" w:type="dxa"/>
          <w:bottom w:w="0" w:type="dxa"/>
          <w:right w:w="108" w:type="dxa"/>
        </w:tblCellMar>
      </w:tblPr>
      <w:tblGrid>
        <w:gridCol w:w="1079"/>
        <w:gridCol w:w="1611"/>
        <w:gridCol w:w="1977"/>
        <w:gridCol w:w="1882"/>
        <w:gridCol w:w="1882"/>
      </w:tblGrid>
      <w:tr>
        <w:tblPrEx>
          <w:tblCellMar>
            <w:top w:w="0" w:type="dxa"/>
            <w:left w:w="108" w:type="dxa"/>
            <w:bottom w:w="0" w:type="dxa"/>
            <w:right w:w="108" w:type="dxa"/>
          </w:tblCellMar>
        </w:tblPrEx>
        <w:trPr>
          <w:trHeight w:val="600" w:hRule="atLeast"/>
        </w:trPr>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b/>
                <w:bCs/>
                <w:sz w:val="24"/>
              </w:rPr>
            </w:pPr>
            <w:r>
              <w:rPr>
                <w:rFonts w:hint="eastAsia"/>
                <w:b/>
                <w:bCs/>
                <w:sz w:val="24"/>
              </w:rPr>
              <w:t>序号</w:t>
            </w:r>
          </w:p>
        </w:tc>
        <w:tc>
          <w:tcPr>
            <w:tcW w:w="3588" w:type="dxa"/>
            <w:gridSpan w:val="2"/>
            <w:vMerge w:val="restart"/>
            <w:tcBorders>
              <w:top w:val="single" w:color="000000" w:sz="4" w:space="0"/>
              <w:left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b/>
                <w:bCs/>
                <w:sz w:val="24"/>
              </w:rPr>
            </w:pPr>
            <w:r>
              <w:rPr>
                <w:rFonts w:hint="eastAsia"/>
                <w:b/>
                <w:bCs/>
                <w:sz w:val="24"/>
              </w:rPr>
              <w:t>工程类型</w:t>
            </w:r>
          </w:p>
        </w:tc>
        <w:tc>
          <w:tcPr>
            <w:tcW w:w="37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b/>
                <w:bCs/>
                <w:sz w:val="24"/>
              </w:rPr>
            </w:pPr>
            <w:r>
              <w:rPr>
                <w:rFonts w:hint="eastAsia"/>
                <w:b/>
                <w:bCs/>
                <w:sz w:val="24"/>
              </w:rPr>
              <w:t>设计阶段</w:t>
            </w:r>
          </w:p>
        </w:tc>
      </w:tr>
      <w:tr>
        <w:tblPrEx>
          <w:tblCellMar>
            <w:top w:w="0" w:type="dxa"/>
            <w:left w:w="108" w:type="dxa"/>
            <w:bottom w:w="0" w:type="dxa"/>
            <w:right w:w="108" w:type="dxa"/>
          </w:tblCellMar>
        </w:tblPrEx>
        <w:trPr>
          <w:trHeight w:val="60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b/>
                <w:bCs/>
                <w:sz w:val="24"/>
              </w:rPr>
            </w:pPr>
          </w:p>
        </w:tc>
        <w:tc>
          <w:tcPr>
            <w:tcW w:w="3588" w:type="dxa"/>
            <w:gridSpan w:val="2"/>
            <w:vMerge w:val="continue"/>
            <w:tcBorders>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b/>
                <w:bCs/>
                <w:sz w:val="24"/>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center"/>
              <w:rPr>
                <w:b/>
                <w:bCs/>
                <w:sz w:val="24"/>
              </w:rPr>
            </w:pPr>
            <w:r>
              <w:rPr>
                <w:rFonts w:hint="eastAsia"/>
                <w:b/>
                <w:bCs/>
                <w:sz w:val="24"/>
              </w:rPr>
              <w:t>初设</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textAlignment w:val="center"/>
              <w:rPr>
                <w:b/>
                <w:bCs/>
                <w:sz w:val="24"/>
              </w:rPr>
            </w:pPr>
            <w:r>
              <w:rPr>
                <w:rFonts w:hint="eastAsia"/>
                <w:b/>
                <w:bCs/>
                <w:sz w:val="24"/>
              </w:rPr>
              <w:t>施工图</w:t>
            </w:r>
          </w:p>
        </w:tc>
      </w:tr>
      <w:tr>
        <w:tblPrEx>
          <w:tblCellMar>
            <w:top w:w="0" w:type="dxa"/>
            <w:left w:w="108" w:type="dxa"/>
            <w:bottom w:w="0" w:type="dxa"/>
            <w:right w:w="108" w:type="dxa"/>
          </w:tblCellMar>
        </w:tblPrEx>
        <w:trPr>
          <w:trHeight w:val="60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1</w:t>
            </w:r>
          </w:p>
        </w:tc>
        <w:tc>
          <w:tcPr>
            <w:tcW w:w="16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default"/>
                <w:sz w:val="24"/>
              </w:rPr>
              <w:t>道路交通</w:t>
            </w:r>
            <w:r>
              <w:rPr>
                <w:rFonts w:hint="eastAsia"/>
                <w:sz w:val="24"/>
              </w:rPr>
              <w:br w:type="textWrapping"/>
            </w:r>
            <w:r>
              <w:rPr>
                <w:rFonts w:hint="default"/>
                <w:sz w:val="24"/>
              </w:rPr>
              <w:t>工程</w:t>
            </w:r>
          </w:p>
        </w:tc>
        <w:tc>
          <w:tcPr>
            <w:tcW w:w="1977"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城市道路工程</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50%</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50%</w:t>
            </w:r>
          </w:p>
        </w:tc>
      </w:tr>
      <w:tr>
        <w:tblPrEx>
          <w:tblCellMar>
            <w:top w:w="0" w:type="dxa"/>
            <w:left w:w="108" w:type="dxa"/>
            <w:bottom w:w="0" w:type="dxa"/>
            <w:right w:w="108" w:type="dxa"/>
          </w:tblCellMar>
        </w:tblPrEx>
        <w:trPr>
          <w:trHeight w:val="60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2</w:t>
            </w:r>
          </w:p>
        </w:tc>
        <w:tc>
          <w:tcPr>
            <w:tcW w:w="16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p>
        </w:tc>
        <w:tc>
          <w:tcPr>
            <w:tcW w:w="1977"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桥梁隧道工程</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45%</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55%</w:t>
            </w:r>
          </w:p>
        </w:tc>
      </w:tr>
      <w:tr>
        <w:tblPrEx>
          <w:tblCellMar>
            <w:top w:w="0" w:type="dxa"/>
            <w:left w:w="108" w:type="dxa"/>
            <w:bottom w:w="0" w:type="dxa"/>
            <w:right w:w="108" w:type="dxa"/>
          </w:tblCellMar>
        </w:tblPrEx>
        <w:trPr>
          <w:trHeight w:val="60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3</w:t>
            </w:r>
          </w:p>
        </w:tc>
        <w:tc>
          <w:tcPr>
            <w:tcW w:w="16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p>
        </w:tc>
        <w:tc>
          <w:tcPr>
            <w:tcW w:w="1977"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公共交通工程</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50%</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50%</w:t>
            </w:r>
          </w:p>
        </w:tc>
      </w:tr>
      <w:tr>
        <w:tblPrEx>
          <w:tblCellMar>
            <w:top w:w="0" w:type="dxa"/>
            <w:left w:w="108" w:type="dxa"/>
            <w:bottom w:w="0" w:type="dxa"/>
            <w:right w:w="108" w:type="dxa"/>
          </w:tblCellMar>
        </w:tblPrEx>
        <w:trPr>
          <w:trHeight w:val="60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4</w:t>
            </w:r>
          </w:p>
        </w:tc>
        <w:tc>
          <w:tcPr>
            <w:tcW w:w="35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eastAsiaTheme="minorEastAsia"/>
                <w:sz w:val="24"/>
                <w:lang w:eastAsia="zh-CN"/>
              </w:rPr>
            </w:pPr>
            <w:r>
              <w:rPr>
                <w:rFonts w:hint="eastAsia"/>
                <w:sz w:val="24"/>
              </w:rPr>
              <w:t>给排水、</w:t>
            </w:r>
            <w:r>
              <w:rPr>
                <w:rFonts w:hint="eastAsia"/>
                <w:sz w:val="24"/>
                <w:lang w:eastAsia="zh-CN"/>
              </w:rPr>
              <w:t>环境卫生</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50%</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50%</w:t>
            </w:r>
          </w:p>
        </w:tc>
      </w:tr>
      <w:tr>
        <w:tblPrEx>
          <w:tblCellMar>
            <w:top w:w="0" w:type="dxa"/>
            <w:left w:w="108" w:type="dxa"/>
            <w:bottom w:w="0" w:type="dxa"/>
            <w:right w:w="108" w:type="dxa"/>
          </w:tblCellMar>
        </w:tblPrEx>
        <w:trPr>
          <w:trHeight w:val="60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5</w:t>
            </w:r>
          </w:p>
        </w:tc>
        <w:tc>
          <w:tcPr>
            <w:tcW w:w="35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燃气热力工程</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50%</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50%</w:t>
            </w:r>
          </w:p>
        </w:tc>
      </w:tr>
      <w:tr>
        <w:tblPrEx>
          <w:tblCellMar>
            <w:top w:w="0" w:type="dxa"/>
            <w:left w:w="108" w:type="dxa"/>
            <w:bottom w:w="0" w:type="dxa"/>
            <w:right w:w="108" w:type="dxa"/>
          </w:tblCellMar>
        </w:tblPrEx>
        <w:trPr>
          <w:trHeight w:val="60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6</w:t>
            </w:r>
          </w:p>
        </w:tc>
        <w:tc>
          <w:tcPr>
            <w:tcW w:w="35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城市轨道交通工程</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45%</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55%</w:t>
            </w:r>
          </w:p>
        </w:tc>
      </w:tr>
      <w:tr>
        <w:tblPrEx>
          <w:tblCellMar>
            <w:top w:w="0" w:type="dxa"/>
            <w:left w:w="108" w:type="dxa"/>
            <w:bottom w:w="0" w:type="dxa"/>
            <w:right w:w="108" w:type="dxa"/>
          </w:tblCellMar>
        </w:tblPrEx>
        <w:trPr>
          <w:trHeight w:val="60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7</w:t>
            </w:r>
          </w:p>
        </w:tc>
        <w:tc>
          <w:tcPr>
            <w:tcW w:w="35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综合管廊</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45%</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360" w:lineRule="auto"/>
              <w:jc w:val="center"/>
              <w:rPr>
                <w:rFonts w:hint="eastAsia"/>
                <w:sz w:val="24"/>
              </w:rPr>
            </w:pPr>
            <w:r>
              <w:rPr>
                <w:rFonts w:hint="eastAsia"/>
                <w:sz w:val="24"/>
              </w:rPr>
              <w:t>55%</w:t>
            </w:r>
          </w:p>
        </w:tc>
      </w:tr>
    </w:tbl>
    <w:p>
      <w:pPr>
        <w:pageBreakBefore w:val="0"/>
        <w:kinsoku/>
        <w:wordWrap/>
        <w:overflowPunct/>
        <w:topLinePunct w:val="0"/>
        <w:autoSpaceDE/>
        <w:autoSpaceDN/>
        <w:bidi w:val="0"/>
        <w:adjustRightInd/>
        <w:snapToGrid/>
        <w:spacing w:line="360" w:lineRule="auto"/>
        <w:jc w:val="left"/>
        <w:rPr>
          <w:sz w:val="24"/>
        </w:rPr>
      </w:pPr>
      <w:r>
        <w:rPr>
          <w:rFonts w:hint="eastAsia"/>
          <w:sz w:val="24"/>
        </w:rPr>
        <w:t>注：1、若单独编制方案设计，方案设计工作量按30%计取，不占初步设计与施工图设计工作量比例；</w:t>
      </w:r>
      <w:r>
        <w:rPr>
          <w:rFonts w:hint="eastAsia"/>
          <w:sz w:val="24"/>
        </w:rPr>
        <w:br w:type="textWrapping"/>
      </w:r>
      <w:r>
        <w:rPr>
          <w:rFonts w:hint="eastAsia"/>
          <w:sz w:val="24"/>
        </w:rPr>
        <w:t>2、若设计阶段为方案设计和施工图设计，则方案设计工作量按10%</w:t>
      </w:r>
      <w:r>
        <w:rPr>
          <w:rFonts w:hint="eastAsia"/>
          <w:sz w:val="24"/>
          <w:lang w:eastAsia="zh-CN"/>
        </w:rPr>
        <w:t>～</w:t>
      </w:r>
      <w:r>
        <w:rPr>
          <w:rFonts w:hint="eastAsia"/>
          <w:sz w:val="24"/>
        </w:rPr>
        <w:t>20%计取，施工图设计按80%</w:t>
      </w:r>
      <w:r>
        <w:rPr>
          <w:rFonts w:hint="eastAsia"/>
          <w:sz w:val="24"/>
          <w:lang w:eastAsia="zh-CN"/>
        </w:rPr>
        <w:t>～</w:t>
      </w:r>
      <w:r>
        <w:rPr>
          <w:rFonts w:hint="eastAsia"/>
          <w:sz w:val="24"/>
        </w:rPr>
        <w:t>90%计取；</w:t>
      </w:r>
      <w:r>
        <w:rPr>
          <w:rFonts w:hint="eastAsia"/>
          <w:sz w:val="24"/>
        </w:rPr>
        <w:br w:type="textWrapping"/>
      </w:r>
      <w:r>
        <w:rPr>
          <w:rFonts w:hint="eastAsia"/>
          <w:sz w:val="24"/>
        </w:rPr>
        <w:t>3、若只有施工图设计，该阶段按100%工作量计取。</w:t>
      </w:r>
    </w:p>
    <w:p>
      <w:pPr>
        <w:pageBreakBefore w:val="0"/>
        <w:numPr>
          <w:ilvl w:val="0"/>
          <w:numId w:val="1"/>
        </w:numPr>
        <w:kinsoku/>
        <w:wordWrap/>
        <w:overflowPunct/>
        <w:topLinePunct w:val="0"/>
        <w:autoSpaceDE/>
        <w:autoSpaceDN/>
        <w:bidi w:val="0"/>
        <w:adjustRightInd/>
        <w:snapToGrid/>
        <w:spacing w:line="360" w:lineRule="auto"/>
        <w:outlineLvl w:val="0"/>
        <w:rPr>
          <w:b/>
          <w:bCs/>
          <w:sz w:val="28"/>
          <w:szCs w:val="28"/>
        </w:rPr>
      </w:pPr>
      <w:bookmarkStart w:id="24" w:name="_Toc741"/>
      <w:r>
        <w:rPr>
          <w:rFonts w:hint="eastAsia"/>
          <w:b/>
          <w:bCs/>
          <w:sz w:val="28"/>
          <w:szCs w:val="28"/>
        </w:rPr>
        <w:t>市政工程其他服务收费</w:t>
      </w:r>
      <w:bookmarkEnd w:id="24"/>
    </w:p>
    <w:p>
      <w:pPr>
        <w:pageBreakBefore w:val="0"/>
        <w:kinsoku/>
        <w:wordWrap/>
        <w:overflowPunct/>
        <w:topLinePunct w:val="0"/>
        <w:autoSpaceDE/>
        <w:autoSpaceDN/>
        <w:bidi w:val="0"/>
        <w:adjustRightInd/>
        <w:snapToGrid/>
        <w:spacing w:line="360" w:lineRule="auto"/>
        <w:jc w:val="center"/>
        <w:rPr>
          <w:b/>
          <w:bCs/>
          <w:sz w:val="28"/>
          <w:szCs w:val="28"/>
        </w:rPr>
      </w:pPr>
      <w:bookmarkStart w:id="25" w:name="_Toc15960"/>
      <w:r>
        <w:rPr>
          <w:rFonts w:hint="eastAsia"/>
          <w:b/>
          <w:bCs/>
          <w:sz w:val="28"/>
          <w:szCs w:val="28"/>
        </w:rPr>
        <w:t>市政工程其他服务成本信息</w:t>
      </w:r>
      <w:bookmarkEnd w:id="25"/>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5"/>
        <w:gridCol w:w="577"/>
        <w:gridCol w:w="109"/>
        <w:gridCol w:w="2599"/>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blHeader/>
        </w:trPr>
        <w:tc>
          <w:tcPr>
            <w:tcW w:w="975"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序号</w:t>
            </w:r>
          </w:p>
        </w:tc>
        <w:tc>
          <w:tcPr>
            <w:tcW w:w="3285" w:type="dxa"/>
            <w:gridSpan w:val="3"/>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服务内容</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成本附加系数</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b/>
                <w:bCs/>
                <w:sz w:val="24"/>
              </w:rPr>
            </w:pPr>
            <w:r>
              <w:rPr>
                <w:rFonts w:hint="eastAsia"/>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w:t>
            </w:r>
          </w:p>
        </w:tc>
        <w:tc>
          <w:tcPr>
            <w:tcW w:w="3285" w:type="dxa"/>
            <w:gridSpan w:val="3"/>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总体设计</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0.05~0.1</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2</w:t>
            </w:r>
          </w:p>
        </w:tc>
        <w:tc>
          <w:tcPr>
            <w:tcW w:w="3285" w:type="dxa"/>
            <w:gridSpan w:val="3"/>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总包服务、主体协调</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0.05~0.1</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Merge w:val="restart"/>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3</w:t>
            </w:r>
          </w:p>
        </w:tc>
        <w:tc>
          <w:tcPr>
            <w:tcW w:w="686" w:type="dxa"/>
            <w:gridSpan w:val="2"/>
            <w:vMerge w:val="restart"/>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BIM</w:t>
            </w:r>
          </w:p>
        </w:tc>
        <w:tc>
          <w:tcPr>
            <w:tcW w:w="259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利用设计成果</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0.1~0.2</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686" w:type="dxa"/>
            <w:gridSpan w:val="2"/>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2599"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利用BIM完成设计</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0.3~0.5</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4</w:t>
            </w:r>
          </w:p>
        </w:tc>
        <w:tc>
          <w:tcPr>
            <w:tcW w:w="3285" w:type="dxa"/>
            <w:gridSpan w:val="3"/>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消防性能化设计</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0.02</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5</w:t>
            </w:r>
          </w:p>
        </w:tc>
        <w:tc>
          <w:tcPr>
            <w:tcW w:w="3285" w:type="dxa"/>
            <w:gridSpan w:val="3"/>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绿色建筑（公共交通）</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0.02</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6</w:t>
            </w:r>
          </w:p>
        </w:tc>
        <w:tc>
          <w:tcPr>
            <w:tcW w:w="3285" w:type="dxa"/>
            <w:gridSpan w:val="3"/>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编制施工图预算</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0.1</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7</w:t>
            </w:r>
          </w:p>
        </w:tc>
        <w:tc>
          <w:tcPr>
            <w:tcW w:w="3285" w:type="dxa"/>
            <w:gridSpan w:val="3"/>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编制竣工图</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0.08</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8</w:t>
            </w:r>
          </w:p>
        </w:tc>
        <w:tc>
          <w:tcPr>
            <w:tcW w:w="3285" w:type="dxa"/>
            <w:gridSpan w:val="3"/>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单独编制工程设计方案</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0.3</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Merge w:val="restart"/>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9</w:t>
            </w:r>
          </w:p>
        </w:tc>
        <w:tc>
          <w:tcPr>
            <w:tcW w:w="577" w:type="dxa"/>
            <w:vMerge w:val="restart"/>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编制施工图招标技术文件</w:t>
            </w:r>
          </w:p>
        </w:tc>
        <w:tc>
          <w:tcPr>
            <w:tcW w:w="2708" w:type="dxa"/>
            <w:gridSpan w:val="2"/>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国内（设备）</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0.12</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577"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2708" w:type="dxa"/>
            <w:gridSpan w:val="2"/>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国内（土建）</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0.08</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577"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2708" w:type="dxa"/>
            <w:gridSpan w:val="2"/>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国际（设备）</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0.18</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577"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2708" w:type="dxa"/>
            <w:gridSpan w:val="2"/>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国际（土建）</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0.15</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577"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2708" w:type="dxa"/>
            <w:gridSpan w:val="2"/>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控制价（含工程量清单）</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0.15</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577"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2708" w:type="dxa"/>
            <w:gridSpan w:val="2"/>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控制价（在工程量清单基础上）</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0.08</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577" w:type="dxa"/>
            <w:vMerge w:val="continue"/>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c>
          <w:tcPr>
            <w:tcW w:w="2708" w:type="dxa"/>
            <w:gridSpan w:val="2"/>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工程量清单</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0.1</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10</w:t>
            </w:r>
          </w:p>
        </w:tc>
        <w:tc>
          <w:tcPr>
            <w:tcW w:w="3285" w:type="dxa"/>
            <w:gridSpan w:val="3"/>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建设过程第三方设计咨询</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0.15～0.3</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11</w:t>
            </w:r>
          </w:p>
        </w:tc>
        <w:tc>
          <w:tcPr>
            <w:tcW w:w="3285" w:type="dxa"/>
            <w:gridSpan w:val="3"/>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复核设计</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0.15～0.2</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12</w:t>
            </w:r>
          </w:p>
        </w:tc>
        <w:tc>
          <w:tcPr>
            <w:tcW w:w="3285" w:type="dxa"/>
            <w:gridSpan w:val="3"/>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新技术、新工艺</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0.1～0.2</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5"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13</w:t>
            </w:r>
          </w:p>
        </w:tc>
        <w:tc>
          <w:tcPr>
            <w:tcW w:w="3285" w:type="dxa"/>
            <w:gridSpan w:val="3"/>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智慧工程设计</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r>
              <w:rPr>
                <w:rFonts w:hint="eastAsia"/>
                <w:sz w:val="24"/>
              </w:rPr>
              <w:t>0.1～0.2</w:t>
            </w:r>
          </w:p>
        </w:tc>
        <w:tc>
          <w:tcPr>
            <w:tcW w:w="2131" w:type="dxa"/>
            <w:vAlign w:val="center"/>
          </w:tcPr>
          <w:p>
            <w:pPr>
              <w:pageBreakBefore w:val="0"/>
              <w:kinsoku/>
              <w:wordWrap/>
              <w:overflowPunct/>
              <w:topLinePunct w:val="0"/>
              <w:autoSpaceDE/>
              <w:autoSpaceDN/>
              <w:bidi w:val="0"/>
              <w:adjustRightInd/>
              <w:snapToGrid/>
              <w:spacing w:line="360" w:lineRule="auto"/>
              <w:jc w:val="center"/>
              <w:rPr>
                <w:rFonts w:hint="default"/>
                <w:sz w:val="24"/>
              </w:rPr>
            </w:pPr>
          </w:p>
        </w:tc>
      </w:tr>
    </w:tbl>
    <w:p>
      <w:pPr>
        <w:pageBreakBefore w:val="0"/>
        <w:kinsoku/>
        <w:wordWrap/>
        <w:overflowPunct/>
        <w:topLinePunct w:val="0"/>
        <w:autoSpaceDE/>
        <w:autoSpaceDN/>
        <w:bidi w:val="0"/>
        <w:adjustRightInd/>
        <w:snapToGrid/>
        <w:spacing w:line="360" w:lineRule="auto"/>
        <w:jc w:val="center"/>
        <w:rPr>
          <w:sz w:val="24"/>
        </w:rPr>
      </w:pPr>
      <w:r>
        <w:rPr>
          <w:sz w:val="24"/>
        </w:rPr>
        <w:t>注：</w:t>
      </w:r>
      <w:r>
        <w:rPr>
          <w:rFonts w:hint="eastAsia"/>
          <w:sz w:val="24"/>
        </w:rPr>
        <w:t>1</w:t>
      </w:r>
      <w:r>
        <w:rPr>
          <w:sz w:val="24"/>
        </w:rPr>
        <w:t>.工程设计总体总包费，其成本按工程费 0.55%</w:t>
      </w:r>
      <w:r>
        <w:rPr>
          <w:rFonts w:hint="eastAsia"/>
          <w:sz w:val="24"/>
          <w:lang w:eastAsia="zh-CN"/>
        </w:rPr>
        <w:t>—</w:t>
      </w:r>
      <w:r>
        <w:rPr>
          <w:sz w:val="24"/>
        </w:rPr>
        <w:t>0.6%测算（或设计基本服务成本的20%-30%），上表成本附加系数的测算基数为设计基本服务成本。</w:t>
      </w:r>
    </w:p>
    <w:p>
      <w:pPr>
        <w:pageBreakBefore w:val="0"/>
        <w:kinsoku/>
        <w:wordWrap/>
        <w:overflowPunct/>
        <w:topLinePunct w:val="0"/>
        <w:autoSpaceDE/>
        <w:autoSpaceDN/>
        <w:bidi w:val="0"/>
        <w:adjustRightInd/>
        <w:snapToGrid/>
        <w:spacing w:line="360" w:lineRule="auto"/>
        <w:jc w:val="left"/>
        <w:rPr>
          <w:sz w:val="24"/>
        </w:rPr>
      </w:pPr>
      <w:r>
        <w:rPr>
          <w:rFonts w:hint="eastAsia"/>
          <w:sz w:val="24"/>
        </w:rPr>
        <w:t>2</w:t>
      </w:r>
      <w:r>
        <w:rPr>
          <w:sz w:val="24"/>
        </w:rPr>
        <w:t>.</w:t>
      </w:r>
      <w:r>
        <w:rPr>
          <w:rFonts w:hint="eastAsia"/>
          <w:sz w:val="24"/>
        </w:rPr>
        <w:t>智慧工程指在市政工程中单独委托的智慧化专项设计，包括智慧水务、智慧交通、智慧燃气、智慧供热、智慧环卫等。</w:t>
      </w:r>
    </w:p>
    <w:p>
      <w:pPr>
        <w:pageBreakBefore w:val="0"/>
        <w:numPr>
          <w:ilvl w:val="0"/>
          <w:numId w:val="1"/>
        </w:numPr>
        <w:kinsoku/>
        <w:wordWrap/>
        <w:overflowPunct/>
        <w:topLinePunct w:val="0"/>
        <w:autoSpaceDE/>
        <w:autoSpaceDN/>
        <w:bidi w:val="0"/>
        <w:adjustRightInd/>
        <w:snapToGrid/>
        <w:spacing w:line="360" w:lineRule="auto"/>
        <w:outlineLvl w:val="0"/>
        <w:rPr>
          <w:b/>
          <w:bCs/>
          <w:color w:val="auto"/>
          <w:sz w:val="28"/>
          <w:szCs w:val="28"/>
        </w:rPr>
      </w:pPr>
      <w:bookmarkStart w:id="26" w:name="_Toc2216"/>
      <w:r>
        <w:rPr>
          <w:rFonts w:hint="eastAsia"/>
          <w:b/>
          <w:bCs/>
          <w:color w:val="auto"/>
          <w:sz w:val="28"/>
          <w:szCs w:val="28"/>
        </w:rPr>
        <w:t>市政工程设计服务人工日法综合成本信息</w:t>
      </w:r>
      <w:bookmarkEnd w:id="26"/>
    </w:p>
    <w:tbl>
      <w:tblPr>
        <w:tblStyle w:val="7"/>
        <w:tblW w:w="90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37"/>
        <w:gridCol w:w="42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4837" w:type="dxa"/>
          </w:tcPr>
          <w:p>
            <w:pPr>
              <w:pStyle w:val="14"/>
              <w:pageBreakBefore w:val="0"/>
              <w:kinsoku/>
              <w:wordWrap/>
              <w:overflowPunct/>
              <w:topLinePunct w:val="0"/>
              <w:autoSpaceDE/>
              <w:autoSpaceDN/>
              <w:bidi w:val="0"/>
              <w:adjustRightInd/>
              <w:snapToGrid/>
              <w:spacing w:before="159" w:line="360" w:lineRule="auto"/>
              <w:ind w:left="1316" w:right="1307"/>
              <w:jc w:val="center"/>
              <w:rPr>
                <w:rFonts w:asciiTheme="minorHAnsi" w:hAnsiTheme="minorHAnsi" w:eastAsiaTheme="minorEastAsia" w:cstheme="minorBidi"/>
                <w:b/>
                <w:bCs/>
                <w:color w:val="auto"/>
                <w:sz w:val="24"/>
                <w:lang w:val="en-US" w:bidi="ar-SA"/>
              </w:rPr>
            </w:pPr>
            <w:r>
              <w:rPr>
                <w:rFonts w:hint="eastAsia" w:asciiTheme="minorHAnsi" w:hAnsiTheme="minorHAnsi" w:eastAsiaTheme="minorEastAsia" w:cstheme="minorBidi"/>
                <w:b/>
                <w:bCs/>
                <w:color w:val="auto"/>
                <w:sz w:val="24"/>
                <w:lang w:val="en-US" w:bidi="ar-SA"/>
              </w:rPr>
              <w:t>职称等级</w:t>
            </w:r>
          </w:p>
        </w:tc>
        <w:tc>
          <w:tcPr>
            <w:tcW w:w="4235" w:type="dxa"/>
          </w:tcPr>
          <w:p>
            <w:pPr>
              <w:pStyle w:val="14"/>
              <w:pageBreakBefore w:val="0"/>
              <w:kinsoku/>
              <w:wordWrap/>
              <w:overflowPunct/>
              <w:topLinePunct w:val="0"/>
              <w:autoSpaceDE/>
              <w:autoSpaceDN/>
              <w:bidi w:val="0"/>
              <w:adjustRightInd/>
              <w:snapToGrid/>
              <w:spacing w:before="159" w:line="360" w:lineRule="auto"/>
              <w:ind w:left="1075" w:right="1061"/>
              <w:jc w:val="center"/>
              <w:rPr>
                <w:rFonts w:asciiTheme="minorHAnsi" w:hAnsiTheme="minorHAnsi" w:eastAsiaTheme="minorEastAsia" w:cstheme="minorBidi"/>
                <w:b/>
                <w:bCs/>
                <w:color w:val="auto"/>
                <w:sz w:val="24"/>
                <w:lang w:val="en-US" w:bidi="ar-SA"/>
              </w:rPr>
            </w:pPr>
            <w:r>
              <w:rPr>
                <w:rFonts w:hint="eastAsia" w:asciiTheme="minorHAnsi" w:hAnsiTheme="minorHAnsi" w:eastAsiaTheme="minorEastAsia" w:cstheme="minorBidi"/>
                <w:b/>
                <w:bCs/>
                <w:color w:val="auto"/>
                <w:sz w:val="24"/>
                <w:lang w:val="en-US" w:bidi="ar-SA"/>
              </w:rPr>
              <w:t>人工成本（元/天）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4837" w:type="dxa"/>
          </w:tcPr>
          <w:p>
            <w:pPr>
              <w:pStyle w:val="14"/>
              <w:pageBreakBefore w:val="0"/>
              <w:kinsoku/>
              <w:wordWrap/>
              <w:overflowPunct/>
              <w:topLinePunct w:val="0"/>
              <w:autoSpaceDE/>
              <w:autoSpaceDN/>
              <w:bidi w:val="0"/>
              <w:adjustRightInd/>
              <w:snapToGrid/>
              <w:spacing w:before="159" w:line="360" w:lineRule="auto"/>
              <w:ind w:left="1316" w:right="1310"/>
              <w:jc w:val="center"/>
              <w:rPr>
                <w:rFonts w:asciiTheme="minorHAnsi" w:hAnsiTheme="minorHAnsi" w:eastAsiaTheme="minorEastAsia" w:cstheme="minorBidi"/>
                <w:color w:val="auto"/>
                <w:sz w:val="24"/>
                <w:lang w:val="en-US" w:bidi="ar-SA"/>
              </w:rPr>
            </w:pPr>
            <w:r>
              <w:rPr>
                <w:rFonts w:hint="eastAsia" w:asciiTheme="minorHAnsi" w:hAnsiTheme="minorHAnsi" w:eastAsiaTheme="minorEastAsia" w:cstheme="minorBidi"/>
                <w:color w:val="auto"/>
                <w:sz w:val="24"/>
                <w:lang w:val="en-US" w:bidi="ar-SA"/>
              </w:rPr>
              <w:t>正高级技术职称</w:t>
            </w:r>
          </w:p>
        </w:tc>
        <w:tc>
          <w:tcPr>
            <w:tcW w:w="4235" w:type="dxa"/>
          </w:tcPr>
          <w:p>
            <w:pPr>
              <w:pStyle w:val="14"/>
              <w:pageBreakBefore w:val="0"/>
              <w:kinsoku/>
              <w:wordWrap/>
              <w:overflowPunct/>
              <w:topLinePunct w:val="0"/>
              <w:autoSpaceDE/>
              <w:autoSpaceDN/>
              <w:bidi w:val="0"/>
              <w:adjustRightInd/>
              <w:snapToGrid/>
              <w:spacing w:before="159" w:line="360" w:lineRule="auto"/>
              <w:ind w:left="1067" w:right="1061"/>
              <w:jc w:val="center"/>
              <w:rPr>
                <w:rFonts w:asciiTheme="minorHAnsi" w:hAnsiTheme="minorHAnsi" w:eastAsiaTheme="minorEastAsia" w:cstheme="minorBidi"/>
                <w:color w:val="auto"/>
                <w:sz w:val="24"/>
                <w:lang w:val="en-US" w:bidi="ar-SA"/>
              </w:rPr>
            </w:pPr>
            <w:r>
              <w:rPr>
                <w:rFonts w:hint="eastAsia" w:asciiTheme="minorHAnsi" w:hAnsiTheme="minorHAnsi" w:eastAsiaTheme="minorEastAsia" w:cstheme="minorBidi"/>
                <w:color w:val="auto"/>
                <w:sz w:val="24"/>
                <w:lang w:val="en-US" w:bidi="ar-SA"/>
              </w:rPr>
              <w:t>7460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4837" w:type="dxa"/>
          </w:tcPr>
          <w:p>
            <w:pPr>
              <w:pStyle w:val="14"/>
              <w:pageBreakBefore w:val="0"/>
              <w:kinsoku/>
              <w:wordWrap/>
              <w:overflowPunct/>
              <w:topLinePunct w:val="0"/>
              <w:autoSpaceDE/>
              <w:autoSpaceDN/>
              <w:bidi w:val="0"/>
              <w:adjustRightInd/>
              <w:snapToGrid/>
              <w:spacing w:before="158" w:line="360" w:lineRule="auto"/>
              <w:ind w:left="1316" w:right="1310"/>
              <w:jc w:val="center"/>
              <w:rPr>
                <w:rFonts w:asciiTheme="minorHAnsi" w:hAnsiTheme="minorHAnsi" w:eastAsiaTheme="minorEastAsia" w:cstheme="minorBidi"/>
                <w:color w:val="auto"/>
                <w:sz w:val="24"/>
                <w:lang w:val="en-US" w:bidi="ar-SA"/>
              </w:rPr>
            </w:pPr>
            <w:r>
              <w:rPr>
                <w:rFonts w:hint="eastAsia" w:asciiTheme="minorHAnsi" w:hAnsiTheme="minorHAnsi" w:eastAsiaTheme="minorEastAsia" w:cstheme="minorBidi"/>
                <w:color w:val="auto"/>
                <w:sz w:val="24"/>
                <w:lang w:val="en-US" w:bidi="ar-SA"/>
              </w:rPr>
              <w:t>高级技术职称</w:t>
            </w:r>
          </w:p>
        </w:tc>
        <w:tc>
          <w:tcPr>
            <w:tcW w:w="4235" w:type="dxa"/>
          </w:tcPr>
          <w:p>
            <w:pPr>
              <w:pStyle w:val="14"/>
              <w:pageBreakBefore w:val="0"/>
              <w:kinsoku/>
              <w:wordWrap/>
              <w:overflowPunct/>
              <w:topLinePunct w:val="0"/>
              <w:autoSpaceDE/>
              <w:autoSpaceDN/>
              <w:bidi w:val="0"/>
              <w:adjustRightInd/>
              <w:snapToGrid/>
              <w:spacing w:before="158" w:line="360" w:lineRule="auto"/>
              <w:ind w:left="1067" w:right="1061"/>
              <w:jc w:val="center"/>
              <w:rPr>
                <w:rFonts w:asciiTheme="minorHAnsi" w:hAnsiTheme="minorHAnsi" w:eastAsiaTheme="minorEastAsia" w:cstheme="minorBidi"/>
                <w:color w:val="auto"/>
                <w:sz w:val="24"/>
                <w:lang w:val="en-US" w:bidi="ar-SA"/>
              </w:rPr>
            </w:pPr>
            <w:r>
              <w:rPr>
                <w:rFonts w:hint="eastAsia" w:asciiTheme="minorHAnsi" w:hAnsiTheme="minorHAnsi" w:eastAsiaTheme="minorEastAsia" w:cstheme="minorBidi"/>
                <w:color w:val="auto"/>
                <w:sz w:val="24"/>
                <w:lang w:val="en-US" w:bidi="ar-SA"/>
              </w:rPr>
              <w:t>5270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4837" w:type="dxa"/>
          </w:tcPr>
          <w:p>
            <w:pPr>
              <w:pStyle w:val="14"/>
              <w:pageBreakBefore w:val="0"/>
              <w:kinsoku/>
              <w:wordWrap/>
              <w:overflowPunct/>
              <w:topLinePunct w:val="0"/>
              <w:autoSpaceDE/>
              <w:autoSpaceDN/>
              <w:bidi w:val="0"/>
              <w:adjustRightInd/>
              <w:snapToGrid/>
              <w:spacing w:before="158" w:line="360" w:lineRule="auto"/>
              <w:ind w:left="1316" w:right="1310"/>
              <w:jc w:val="center"/>
              <w:rPr>
                <w:rFonts w:asciiTheme="minorHAnsi" w:hAnsiTheme="minorHAnsi" w:eastAsiaTheme="minorEastAsia" w:cstheme="minorBidi"/>
                <w:color w:val="auto"/>
                <w:sz w:val="24"/>
                <w:lang w:val="en-US" w:bidi="ar-SA"/>
              </w:rPr>
            </w:pPr>
            <w:r>
              <w:rPr>
                <w:rFonts w:hint="eastAsia" w:asciiTheme="minorHAnsi" w:hAnsiTheme="minorHAnsi" w:eastAsiaTheme="minorEastAsia" w:cstheme="minorBidi"/>
                <w:color w:val="auto"/>
                <w:sz w:val="24"/>
                <w:lang w:val="en-US" w:bidi="ar-SA"/>
              </w:rPr>
              <w:t>中级技术职称</w:t>
            </w:r>
          </w:p>
        </w:tc>
        <w:tc>
          <w:tcPr>
            <w:tcW w:w="4235" w:type="dxa"/>
          </w:tcPr>
          <w:p>
            <w:pPr>
              <w:pStyle w:val="14"/>
              <w:pageBreakBefore w:val="0"/>
              <w:kinsoku/>
              <w:wordWrap/>
              <w:overflowPunct/>
              <w:topLinePunct w:val="0"/>
              <w:autoSpaceDE/>
              <w:autoSpaceDN/>
              <w:bidi w:val="0"/>
              <w:adjustRightInd/>
              <w:snapToGrid/>
              <w:spacing w:before="158" w:line="360" w:lineRule="auto"/>
              <w:ind w:left="1067" w:right="1061"/>
              <w:jc w:val="center"/>
              <w:rPr>
                <w:rFonts w:asciiTheme="minorHAnsi" w:hAnsiTheme="minorHAnsi" w:eastAsiaTheme="minorEastAsia" w:cstheme="minorBidi"/>
                <w:color w:val="auto"/>
                <w:sz w:val="24"/>
                <w:lang w:val="en-US" w:bidi="ar-SA"/>
              </w:rPr>
            </w:pPr>
            <w:r>
              <w:rPr>
                <w:rFonts w:hint="eastAsia" w:asciiTheme="minorHAnsi" w:hAnsiTheme="minorHAnsi" w:eastAsiaTheme="minorEastAsia" w:cstheme="minorBidi"/>
                <w:color w:val="auto"/>
                <w:sz w:val="24"/>
                <w:lang w:val="en-US" w:bidi="ar-SA"/>
              </w:rPr>
              <w:t>4365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4837" w:type="dxa"/>
          </w:tcPr>
          <w:p>
            <w:pPr>
              <w:pStyle w:val="14"/>
              <w:pageBreakBefore w:val="0"/>
              <w:kinsoku/>
              <w:wordWrap/>
              <w:overflowPunct/>
              <w:topLinePunct w:val="0"/>
              <w:autoSpaceDE/>
              <w:autoSpaceDN/>
              <w:bidi w:val="0"/>
              <w:adjustRightInd/>
              <w:snapToGrid/>
              <w:spacing w:before="160" w:line="360" w:lineRule="auto"/>
              <w:ind w:left="1316" w:right="1310"/>
              <w:jc w:val="center"/>
              <w:rPr>
                <w:rFonts w:asciiTheme="minorHAnsi" w:hAnsiTheme="minorHAnsi" w:eastAsiaTheme="minorEastAsia" w:cstheme="minorBidi"/>
                <w:color w:val="auto"/>
                <w:sz w:val="24"/>
                <w:lang w:val="en-US" w:bidi="ar-SA"/>
              </w:rPr>
            </w:pPr>
            <w:r>
              <w:rPr>
                <w:rFonts w:hint="eastAsia" w:asciiTheme="minorHAnsi" w:hAnsiTheme="minorHAnsi" w:eastAsiaTheme="minorEastAsia" w:cstheme="minorBidi"/>
                <w:color w:val="auto"/>
                <w:sz w:val="24"/>
                <w:lang w:val="en-US" w:bidi="ar-SA"/>
              </w:rPr>
              <w:t>初级及以下技术职称</w:t>
            </w:r>
          </w:p>
        </w:tc>
        <w:tc>
          <w:tcPr>
            <w:tcW w:w="4235" w:type="dxa"/>
          </w:tcPr>
          <w:p>
            <w:pPr>
              <w:pStyle w:val="14"/>
              <w:pageBreakBefore w:val="0"/>
              <w:kinsoku/>
              <w:wordWrap/>
              <w:overflowPunct/>
              <w:topLinePunct w:val="0"/>
              <w:autoSpaceDE/>
              <w:autoSpaceDN/>
              <w:bidi w:val="0"/>
              <w:adjustRightInd/>
              <w:snapToGrid/>
              <w:spacing w:before="160" w:line="360" w:lineRule="auto"/>
              <w:ind w:left="1067" w:right="1061"/>
              <w:jc w:val="center"/>
              <w:rPr>
                <w:rFonts w:asciiTheme="minorHAnsi" w:hAnsiTheme="minorHAnsi" w:eastAsiaTheme="minorEastAsia" w:cstheme="minorBidi"/>
                <w:color w:val="auto"/>
                <w:sz w:val="24"/>
                <w:lang w:val="en-US" w:bidi="ar-SA"/>
              </w:rPr>
            </w:pPr>
            <w:r>
              <w:rPr>
                <w:rFonts w:hint="eastAsia" w:asciiTheme="minorHAnsi" w:hAnsiTheme="minorHAnsi" w:eastAsiaTheme="minorEastAsia" w:cstheme="minorBidi"/>
                <w:color w:val="auto"/>
                <w:sz w:val="24"/>
                <w:lang w:val="en-US" w:bidi="ar-SA"/>
              </w:rPr>
              <w:t>2790</w:t>
            </w:r>
          </w:p>
        </w:tc>
      </w:tr>
    </w:tbl>
    <w:p>
      <w:pPr>
        <w:pageBreakBefore w:val="0"/>
        <w:kinsoku/>
        <w:wordWrap/>
        <w:overflowPunct/>
        <w:topLinePunct w:val="0"/>
        <w:autoSpaceDE/>
        <w:autoSpaceDN/>
        <w:bidi w:val="0"/>
        <w:adjustRightInd/>
        <w:snapToGrid/>
        <w:spacing w:line="360" w:lineRule="auto"/>
        <w:jc w:val="left"/>
        <w:rPr>
          <w:color w:val="auto"/>
          <w:sz w:val="24"/>
        </w:rPr>
      </w:pPr>
      <w:r>
        <w:rPr>
          <w:color w:val="auto"/>
          <w:sz w:val="24"/>
        </w:rPr>
        <w:t>注： 本表适用于房屋建筑工程、市政基础设施工程、轨道交通工程的勘察、设计服务（含设计文件和岩土工程勘察文件的评审、审查、咨询）等，以及驻场等相关技术服务。</w:t>
      </w:r>
    </w:p>
    <w:p>
      <w:pPr>
        <w:pageBreakBefore w:val="0"/>
        <w:kinsoku/>
        <w:wordWrap/>
        <w:overflowPunct/>
        <w:topLinePunct w:val="0"/>
        <w:autoSpaceDE/>
        <w:autoSpaceDN/>
        <w:bidi w:val="0"/>
        <w:adjustRightInd/>
        <w:snapToGrid/>
        <w:spacing w:line="360" w:lineRule="auto"/>
        <w:jc w:val="center"/>
        <w:rPr>
          <w:b/>
          <w:bCs/>
          <w:sz w:val="28"/>
          <w:szCs w:val="28"/>
        </w:rPr>
      </w:pPr>
    </w:p>
    <w:p>
      <w:pPr>
        <w:widowControl/>
        <w:adjustRightInd w:val="0"/>
        <w:snapToGrid w:val="0"/>
        <w:spacing w:line="240" w:lineRule="auto"/>
        <w:jc w:val="left"/>
        <w:rPr>
          <w:rFonts w:hint="eastAsia" w:ascii="仿宋" w:hAnsi="仿宋" w:eastAsia="仿宋" w:cs="Times New Roman"/>
          <w:snapToGrid w:val="0"/>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7A908B"/>
    <w:multiLevelType w:val="singleLevel"/>
    <w:tmpl w:val="E17A908B"/>
    <w:lvl w:ilvl="0" w:tentative="0">
      <w:start w:val="1"/>
      <w:numFmt w:val="chineseCounting"/>
      <w:suff w:val="nothing"/>
      <w:lvlText w:val="（%1）"/>
      <w:lvlJc w:val="left"/>
      <w:pPr>
        <w:ind w:left="0" w:firstLine="420"/>
      </w:pPr>
      <w:rPr>
        <w:rFonts w:hint="eastAsia"/>
      </w:rPr>
    </w:lvl>
  </w:abstractNum>
  <w:abstractNum w:abstractNumId="1">
    <w:nsid w:val="019EAF05"/>
    <w:multiLevelType w:val="singleLevel"/>
    <w:tmpl w:val="019EAF05"/>
    <w:lvl w:ilvl="0" w:tentative="0">
      <w:start w:val="1"/>
      <w:numFmt w:val="decimal"/>
      <w:suff w:val="nothing"/>
      <w:lvlText w:val="%1．"/>
      <w:lvlJc w:val="left"/>
    </w:lvl>
  </w:abstractNum>
  <w:abstractNum w:abstractNumId="2">
    <w:nsid w:val="2C78B097"/>
    <w:multiLevelType w:val="singleLevel"/>
    <w:tmpl w:val="2C78B097"/>
    <w:lvl w:ilvl="0" w:tentative="0">
      <w:start w:val="1"/>
      <w:numFmt w:val="decimal"/>
      <w:lvlText w:val="%1."/>
      <w:lvlJc w:val="left"/>
      <w:pPr>
        <w:tabs>
          <w:tab w:val="left" w:pos="420"/>
        </w:tabs>
        <w:ind w:left="845" w:hanging="425"/>
      </w:pPr>
      <w:rPr>
        <w:rFonts w:hint="default"/>
      </w:rPr>
    </w:lvl>
  </w:abstractNum>
  <w:abstractNum w:abstractNumId="3">
    <w:nsid w:val="4178C976"/>
    <w:multiLevelType w:val="singleLevel"/>
    <w:tmpl w:val="4178C976"/>
    <w:lvl w:ilvl="0" w:tentative="0">
      <w:start w:val="1"/>
      <w:numFmt w:val="chineseCounting"/>
      <w:suff w:val="nothing"/>
      <w:lvlText w:val="%1、"/>
      <w:lvlJc w:val="left"/>
      <w:pPr>
        <w:ind w:left="0" w:firstLine="420"/>
      </w:pPr>
      <w:rPr>
        <w:rFonts w:hint="eastAsia"/>
      </w:rPr>
    </w:lvl>
  </w:abstractNum>
  <w:abstractNum w:abstractNumId="4">
    <w:nsid w:val="5F4CB4E9"/>
    <w:multiLevelType w:val="singleLevel"/>
    <w:tmpl w:val="5F4CB4E9"/>
    <w:lvl w:ilvl="0" w:tentative="0">
      <w:start w:val="1"/>
      <w:numFmt w:val="decimal"/>
      <w:lvlText w:val="%1."/>
      <w:lvlJc w:val="left"/>
      <w:pPr>
        <w:ind w:left="425" w:hanging="425"/>
      </w:pPr>
      <w:rPr>
        <w:rFonts w:hint="default"/>
      </w:rPr>
    </w:lvl>
  </w:abstractNum>
  <w:abstractNum w:abstractNumId="5">
    <w:nsid w:val="63E03A73"/>
    <w:multiLevelType w:val="singleLevel"/>
    <w:tmpl w:val="63E03A73"/>
    <w:lvl w:ilvl="0" w:tentative="0">
      <w:start w:val="1"/>
      <w:numFmt w:val="decimal"/>
      <w:lvlText w:val="%1."/>
      <w:lvlJc w:val="left"/>
      <w:pPr>
        <w:tabs>
          <w:tab w:val="left" w:pos="420"/>
        </w:tabs>
        <w:ind w:left="845" w:hanging="425"/>
      </w:pPr>
      <w:rPr>
        <w:rFonts w:hint="default"/>
      </w:rPr>
    </w:lvl>
  </w:abstractNum>
  <w:abstractNum w:abstractNumId="6">
    <w:nsid w:val="669E4FC8"/>
    <w:multiLevelType w:val="singleLevel"/>
    <w:tmpl w:val="669E4FC8"/>
    <w:lvl w:ilvl="0" w:tentative="0">
      <w:start w:val="1"/>
      <w:numFmt w:val="chineseCounting"/>
      <w:suff w:val="nothing"/>
      <w:lvlText w:val="（%1）"/>
      <w:lvlJc w:val="left"/>
      <w:pPr>
        <w:ind w:left="0" w:firstLine="420"/>
      </w:pPr>
      <w:rPr>
        <w:rFonts w:hint="eastAsia"/>
      </w:rPr>
    </w:lvl>
  </w:abstractNum>
  <w:num w:numId="1">
    <w:abstractNumId w:val="3"/>
  </w:num>
  <w:num w:numId="2">
    <w:abstractNumId w:val="0"/>
  </w:num>
  <w:num w:numId="3">
    <w:abstractNumId w:val="2"/>
  </w:num>
  <w:num w:numId="4">
    <w:abstractNumId w:val="5"/>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U4M2U2ZGI4MmNhYzZmM2JhMDk4MDdlNjQwYWFhMTcifQ=="/>
  </w:docVars>
  <w:rsids>
    <w:rsidRoot w:val="00CE2B2A"/>
    <w:rsid w:val="00035428"/>
    <w:rsid w:val="001074AB"/>
    <w:rsid w:val="00147239"/>
    <w:rsid w:val="001A00BF"/>
    <w:rsid w:val="001A3AA3"/>
    <w:rsid w:val="001B2F2A"/>
    <w:rsid w:val="001B40A2"/>
    <w:rsid w:val="001E1699"/>
    <w:rsid w:val="001E6ACD"/>
    <w:rsid w:val="001F55BC"/>
    <w:rsid w:val="00232341"/>
    <w:rsid w:val="002572B9"/>
    <w:rsid w:val="003309C8"/>
    <w:rsid w:val="0035229F"/>
    <w:rsid w:val="003857E1"/>
    <w:rsid w:val="003B55F0"/>
    <w:rsid w:val="003C48A2"/>
    <w:rsid w:val="003C6AAE"/>
    <w:rsid w:val="00415BEB"/>
    <w:rsid w:val="00434E2D"/>
    <w:rsid w:val="00460092"/>
    <w:rsid w:val="004A57D7"/>
    <w:rsid w:val="004A5F5D"/>
    <w:rsid w:val="0050202E"/>
    <w:rsid w:val="00507DDC"/>
    <w:rsid w:val="0052276D"/>
    <w:rsid w:val="00540549"/>
    <w:rsid w:val="00570C4E"/>
    <w:rsid w:val="00580FA5"/>
    <w:rsid w:val="005B2DE3"/>
    <w:rsid w:val="00610BC2"/>
    <w:rsid w:val="00644296"/>
    <w:rsid w:val="006A78FF"/>
    <w:rsid w:val="006B6852"/>
    <w:rsid w:val="006D50A8"/>
    <w:rsid w:val="006F4E32"/>
    <w:rsid w:val="00713C4D"/>
    <w:rsid w:val="007A037A"/>
    <w:rsid w:val="007B58D7"/>
    <w:rsid w:val="00800425"/>
    <w:rsid w:val="0086761D"/>
    <w:rsid w:val="008B7E99"/>
    <w:rsid w:val="0090092B"/>
    <w:rsid w:val="00921F1E"/>
    <w:rsid w:val="009344EA"/>
    <w:rsid w:val="00960FBF"/>
    <w:rsid w:val="00A02607"/>
    <w:rsid w:val="00A57212"/>
    <w:rsid w:val="00AB3D85"/>
    <w:rsid w:val="00AE3544"/>
    <w:rsid w:val="00AE57A1"/>
    <w:rsid w:val="00B23743"/>
    <w:rsid w:val="00B25823"/>
    <w:rsid w:val="00B3622C"/>
    <w:rsid w:val="00B5171B"/>
    <w:rsid w:val="00B61108"/>
    <w:rsid w:val="00BA40B4"/>
    <w:rsid w:val="00BE73DC"/>
    <w:rsid w:val="00C1514F"/>
    <w:rsid w:val="00C424DE"/>
    <w:rsid w:val="00C5701E"/>
    <w:rsid w:val="00C73424"/>
    <w:rsid w:val="00C76198"/>
    <w:rsid w:val="00CE2B2A"/>
    <w:rsid w:val="00D110F2"/>
    <w:rsid w:val="00D13832"/>
    <w:rsid w:val="00D15AB1"/>
    <w:rsid w:val="00D2006D"/>
    <w:rsid w:val="00D20975"/>
    <w:rsid w:val="00D60013"/>
    <w:rsid w:val="00D63405"/>
    <w:rsid w:val="00D73648"/>
    <w:rsid w:val="00D91C9C"/>
    <w:rsid w:val="00DC3DF8"/>
    <w:rsid w:val="00E44648"/>
    <w:rsid w:val="00E502C7"/>
    <w:rsid w:val="00F25519"/>
    <w:rsid w:val="00F843FE"/>
    <w:rsid w:val="00F97128"/>
    <w:rsid w:val="00FB2733"/>
    <w:rsid w:val="00FF2F01"/>
    <w:rsid w:val="00FF3982"/>
    <w:rsid w:val="01017684"/>
    <w:rsid w:val="01F1594A"/>
    <w:rsid w:val="021B4775"/>
    <w:rsid w:val="03595692"/>
    <w:rsid w:val="03800D34"/>
    <w:rsid w:val="049A5E25"/>
    <w:rsid w:val="05F17CC7"/>
    <w:rsid w:val="064241D4"/>
    <w:rsid w:val="09A17638"/>
    <w:rsid w:val="0AF76584"/>
    <w:rsid w:val="0B161F7E"/>
    <w:rsid w:val="0B9A3BD7"/>
    <w:rsid w:val="0FE679A4"/>
    <w:rsid w:val="14496760"/>
    <w:rsid w:val="14991C55"/>
    <w:rsid w:val="15267261"/>
    <w:rsid w:val="15F938F3"/>
    <w:rsid w:val="18820C52"/>
    <w:rsid w:val="19C332D1"/>
    <w:rsid w:val="1A34184F"/>
    <w:rsid w:val="1B4F5986"/>
    <w:rsid w:val="1B754A9E"/>
    <w:rsid w:val="1EC75611"/>
    <w:rsid w:val="22680EB9"/>
    <w:rsid w:val="227B77C7"/>
    <w:rsid w:val="22C83912"/>
    <w:rsid w:val="23A96CD7"/>
    <w:rsid w:val="23B63E77"/>
    <w:rsid w:val="266F0A68"/>
    <w:rsid w:val="267E5A4E"/>
    <w:rsid w:val="26DB2738"/>
    <w:rsid w:val="27710810"/>
    <w:rsid w:val="279D1605"/>
    <w:rsid w:val="284952E9"/>
    <w:rsid w:val="29A85E27"/>
    <w:rsid w:val="2B8A3D12"/>
    <w:rsid w:val="2B9D7E25"/>
    <w:rsid w:val="2F3721AD"/>
    <w:rsid w:val="2FC82F97"/>
    <w:rsid w:val="3029612C"/>
    <w:rsid w:val="30B3560F"/>
    <w:rsid w:val="31443C9B"/>
    <w:rsid w:val="333077D1"/>
    <w:rsid w:val="33813B89"/>
    <w:rsid w:val="350B28A9"/>
    <w:rsid w:val="36676F7F"/>
    <w:rsid w:val="384653A1"/>
    <w:rsid w:val="39AC1355"/>
    <w:rsid w:val="3A8A1F30"/>
    <w:rsid w:val="3D7430F2"/>
    <w:rsid w:val="3E3F6B1A"/>
    <w:rsid w:val="3E43241F"/>
    <w:rsid w:val="40161AFD"/>
    <w:rsid w:val="407229BD"/>
    <w:rsid w:val="41D43A1D"/>
    <w:rsid w:val="43835F5C"/>
    <w:rsid w:val="46F506BE"/>
    <w:rsid w:val="4707219F"/>
    <w:rsid w:val="48C1524A"/>
    <w:rsid w:val="4A8C1339"/>
    <w:rsid w:val="4AC90482"/>
    <w:rsid w:val="4C4D7C71"/>
    <w:rsid w:val="4DB43081"/>
    <w:rsid w:val="4F722CCD"/>
    <w:rsid w:val="5018704E"/>
    <w:rsid w:val="55BE25C3"/>
    <w:rsid w:val="5639752B"/>
    <w:rsid w:val="56CB4F97"/>
    <w:rsid w:val="572B1EDA"/>
    <w:rsid w:val="57D04F5B"/>
    <w:rsid w:val="583C29EE"/>
    <w:rsid w:val="59B35542"/>
    <w:rsid w:val="5A6A1FE8"/>
    <w:rsid w:val="5ACE0C44"/>
    <w:rsid w:val="5C050F4B"/>
    <w:rsid w:val="5C906FF9"/>
    <w:rsid w:val="60455DBA"/>
    <w:rsid w:val="60CC028A"/>
    <w:rsid w:val="614F2847"/>
    <w:rsid w:val="62422518"/>
    <w:rsid w:val="67486190"/>
    <w:rsid w:val="6A4946F9"/>
    <w:rsid w:val="6B2F1B41"/>
    <w:rsid w:val="6C503072"/>
    <w:rsid w:val="6DB07BE7"/>
    <w:rsid w:val="714108C0"/>
    <w:rsid w:val="71FF2DA3"/>
    <w:rsid w:val="7227121A"/>
    <w:rsid w:val="751A00A9"/>
    <w:rsid w:val="7C7441F7"/>
    <w:rsid w:val="7D6A6A08"/>
    <w:rsid w:val="7F7413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unhideWhenUsed/>
    <w:qFormat/>
    <w:uiPriority w:val="99"/>
    <w:pPr>
      <w:spacing w:before="50" w:beforeLines="50" w:after="10" w:line="480" w:lineRule="exact"/>
      <w:ind w:firstLine="723" w:firstLineChars="200"/>
    </w:pPr>
    <w:rPr>
      <w:rFonts w:ascii="Times New Roman" w:hAnsi="Times New Roman" w:eastAsia="华文仿宋" w:cs="Times New Roman"/>
      <w:sz w:val="32"/>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rPr>
      <w:rFonts w:hint="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customStyle="1" w:styleId="11">
    <w:name w:val="页眉 字符"/>
    <w:basedOn w:val="9"/>
    <w:link w:val="5"/>
    <w:qFormat/>
    <w:uiPriority w:val="99"/>
    <w:rPr>
      <w:kern w:val="2"/>
      <w:sz w:val="18"/>
      <w:szCs w:val="18"/>
    </w:rPr>
  </w:style>
  <w:style w:type="character" w:customStyle="1" w:styleId="12">
    <w:name w:val="页脚 字符"/>
    <w:basedOn w:val="9"/>
    <w:link w:val="4"/>
    <w:qFormat/>
    <w:uiPriority w:val="99"/>
    <w:rPr>
      <w:kern w:val="2"/>
      <w:sz w:val="18"/>
      <w:szCs w:val="18"/>
    </w:rPr>
  </w:style>
  <w:style w:type="paragraph" w:customStyle="1" w:styleId="13">
    <w:name w:val="WPSOffice手动目录 1"/>
    <w:qFormat/>
    <w:uiPriority w:val="0"/>
    <w:rPr>
      <w:rFonts w:asciiTheme="minorHAnsi" w:hAnsiTheme="minorHAnsi" w:eastAsiaTheme="minorEastAsia" w:cstheme="minorBidi"/>
      <w:lang w:val="en-US" w:eastAsia="zh-CN" w:bidi="ar-SA"/>
    </w:rPr>
  </w:style>
  <w:style w:type="paragraph" w:customStyle="1" w:styleId="14">
    <w:name w:val="Table Paragraph"/>
    <w:basedOn w:val="1"/>
    <w:qFormat/>
    <w:uiPriority w:val="1"/>
    <w:rPr>
      <w:rFonts w:ascii="仿宋" w:hAnsi="仿宋" w:eastAsia="仿宋" w:cs="仿宋"/>
      <w:lang w:val="zh-CN" w:bidi="zh-CN"/>
    </w:rPr>
  </w:style>
  <w:style w:type="paragraph" w:styleId="15">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Pages>
  <Words>7539</Words>
  <Characters>8567</Characters>
  <Lines>3</Lines>
  <Paragraphs>1</Paragraphs>
  <TotalTime>19</TotalTime>
  <ScaleCrop>false</ScaleCrop>
  <LinksUpToDate>false</LinksUpToDate>
  <CharactersWithSpaces>8925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2023-02-27T02:45:00Z</dcterms:created>
  <dc:creator>duanjingguang</dc:creator>
  <cp:lastModifiedBy>微微笑คิดถึง</cp:lastModifiedBy>
  <cp:lastPrinted>2023-08-07T02:03:00Z</cp:lastPrinted>
  <dcterms:modified xsi:type="dcterms:W3CDTF">2023-08-07T02:20:58Z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2B9A662DD20346559C54C0FD9F366AF5_13</vt:lpwstr>
  </property>
</Properties>
</file>